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17CB" w14:textId="77777777" w:rsidR="0002428E" w:rsidRDefault="0002428E" w:rsidP="00D82F64">
      <w:pPr>
        <w:spacing w:before="240"/>
        <w:jc w:val="center"/>
        <w:rPr>
          <w:caps/>
          <w:lang w:val="en-GB"/>
        </w:rPr>
      </w:pPr>
    </w:p>
    <w:p w14:paraId="3977C35A" w14:textId="77777777" w:rsidR="0002428E" w:rsidRDefault="00211E75" w:rsidP="00D82F64">
      <w:pPr>
        <w:spacing w:before="240"/>
        <w:jc w:val="center"/>
        <w:rPr>
          <w:caps/>
          <w:lang w:val="en-GB"/>
        </w:rPr>
      </w:pPr>
      <w:r w:rsidRPr="00211E75">
        <w:rPr>
          <w:caps/>
          <w:lang w:val="en-GB"/>
        </w:rPr>
        <w:t xml:space="preserve">Mighty Models from little data grow: Estimating animal disease </w:t>
      </w:r>
    </w:p>
    <w:p w14:paraId="428E3028" w14:textId="77777777" w:rsidR="0002428E" w:rsidRPr="00211E75" w:rsidRDefault="00211E75" w:rsidP="00D82F64">
      <w:pPr>
        <w:spacing w:before="240"/>
        <w:jc w:val="center"/>
        <w:rPr>
          <w:caps/>
          <w:lang w:val="en-GB"/>
        </w:rPr>
      </w:pPr>
      <w:r w:rsidRPr="00211E75">
        <w:rPr>
          <w:caps/>
          <w:lang w:val="en-GB"/>
        </w:rPr>
        <w:t>prevalence</w:t>
      </w:r>
    </w:p>
    <w:p w14:paraId="63DA4DEA" w14:textId="77777777" w:rsidR="0002428E" w:rsidRDefault="0002428E" w:rsidP="00D82F64">
      <w:pPr>
        <w:pStyle w:val="AuthorBlock"/>
        <w:spacing w:before="120" w:after="0"/>
        <w:rPr>
          <w:lang w:val="en-GB"/>
        </w:rPr>
      </w:pPr>
    </w:p>
    <w:p w14:paraId="48EBEC9D" w14:textId="7CBAF4C0" w:rsidR="00211E75" w:rsidRPr="002C7463" w:rsidRDefault="00211E75" w:rsidP="00D82F64">
      <w:pPr>
        <w:pStyle w:val="AuthorBlock"/>
        <w:spacing w:before="120" w:after="0"/>
        <w:rPr>
          <w:lang w:val="en-GB"/>
        </w:rPr>
      </w:pPr>
      <w:r w:rsidRPr="002C7463">
        <w:rPr>
          <w:lang w:val="en-GB"/>
        </w:rPr>
        <w:t>R.R.L</w:t>
      </w:r>
      <w:r w:rsidR="00AC68BF">
        <w:rPr>
          <w:lang w:val="en-GB"/>
        </w:rPr>
        <w:t>.</w:t>
      </w:r>
      <w:r w:rsidRPr="002C7463">
        <w:rPr>
          <w:lang w:val="en-GB"/>
        </w:rPr>
        <w:t xml:space="preserve"> Simons</w:t>
      </w:r>
      <w:r>
        <w:rPr>
          <w:rStyle w:val="FootnoteReference"/>
        </w:rPr>
        <w:footnoteReference w:id="1"/>
      </w:r>
      <w:r w:rsidRPr="002C7463">
        <w:rPr>
          <w:lang w:val="en-GB"/>
        </w:rPr>
        <w:t>, v. horigan, m. de nardi, g. ru, a.e. pena and a. adkin</w:t>
      </w:r>
    </w:p>
    <w:p w14:paraId="1DE11E60" w14:textId="77777777" w:rsidR="0002428E" w:rsidRDefault="0002428E" w:rsidP="00D82F64">
      <w:pPr>
        <w:pStyle w:val="1stdegreeheading"/>
        <w:spacing w:before="120" w:after="0"/>
        <w:rPr>
          <w:lang w:val="en-GB"/>
        </w:rPr>
      </w:pPr>
    </w:p>
    <w:p w14:paraId="60570C75" w14:textId="77777777" w:rsidR="008C3249" w:rsidRPr="002C7463" w:rsidRDefault="008C3249" w:rsidP="00D82F64">
      <w:pPr>
        <w:pStyle w:val="1stdegreeheading"/>
        <w:spacing w:before="240" w:after="0"/>
        <w:rPr>
          <w:lang w:val="en-GB"/>
        </w:rPr>
      </w:pPr>
      <w:r w:rsidRPr="002C7463">
        <w:rPr>
          <w:lang w:val="en-GB"/>
        </w:rPr>
        <w:t>summary</w:t>
      </w:r>
      <w:r w:rsidR="00170CE1" w:rsidRPr="002C7463">
        <w:rPr>
          <w:lang w:val="en-GB"/>
        </w:rPr>
        <w:t xml:space="preserve"> </w:t>
      </w:r>
    </w:p>
    <w:p w14:paraId="0685DE91" w14:textId="77777777" w:rsidR="002C7463" w:rsidRPr="002C7463" w:rsidRDefault="002C7463" w:rsidP="00D82F64">
      <w:pPr>
        <w:spacing w:before="240"/>
        <w:ind w:firstLine="284"/>
        <w:jc w:val="both"/>
        <w:rPr>
          <w:lang w:val="en-GB"/>
        </w:rPr>
      </w:pPr>
      <w:r w:rsidRPr="002C7463">
        <w:rPr>
          <w:lang w:val="en-GB"/>
        </w:rPr>
        <w:t>Global datasets relating to prevalence of animal pathogens are a useful input for risk assessments. However, missing data, and the resulting uncertainty, could potentially bias model outputs. This paper reviews the challenges associated with using freely available datasets and explores methods of estimating data, where necessary. By filling these data gaps, the final models can achieve more robust predictions with reduced uncertainty.</w:t>
      </w:r>
    </w:p>
    <w:p w14:paraId="58B81007" w14:textId="77777777" w:rsidR="0002428E" w:rsidRDefault="0002428E" w:rsidP="00D82F64">
      <w:pPr>
        <w:pStyle w:val="1stdegreeheading"/>
        <w:spacing w:before="120" w:after="0"/>
        <w:rPr>
          <w:lang w:val="en-GB"/>
        </w:rPr>
      </w:pPr>
    </w:p>
    <w:p w14:paraId="284BD4F4" w14:textId="77777777" w:rsidR="008C3249" w:rsidRPr="00654257" w:rsidRDefault="008C3249" w:rsidP="00D82F64">
      <w:pPr>
        <w:pStyle w:val="1stdegreeheading"/>
        <w:spacing w:before="120" w:after="0"/>
        <w:rPr>
          <w:lang w:val="en-GB"/>
        </w:rPr>
      </w:pPr>
      <w:r w:rsidRPr="00654257">
        <w:rPr>
          <w:lang w:val="en-GB"/>
        </w:rPr>
        <w:t>introduction</w:t>
      </w:r>
    </w:p>
    <w:p w14:paraId="00356A83" w14:textId="1A2BAA59" w:rsidR="00654257" w:rsidRDefault="00654257" w:rsidP="00D82F64">
      <w:pPr>
        <w:spacing w:before="240"/>
        <w:ind w:firstLine="284"/>
        <w:jc w:val="both"/>
        <w:rPr>
          <w:lang w:val="en-GB"/>
        </w:rPr>
      </w:pPr>
      <w:r w:rsidRPr="00654257">
        <w:rPr>
          <w:lang w:val="en-GB"/>
        </w:rPr>
        <w:t>Globalisation, with its associated increase in frequency of movement of animals, humans and trade products around the world, has been acknowledged as a risk factor for the spread of pathogens between countries and is a motivation behind the implementation of many pathogen incursion risk assessments (Simons et al., 2016). Thus, risk assessments</w:t>
      </w:r>
      <w:r w:rsidR="00C50463">
        <w:rPr>
          <w:lang w:val="en-GB"/>
        </w:rPr>
        <w:t xml:space="preserve"> are</w:t>
      </w:r>
      <w:r w:rsidRPr="00654257">
        <w:rPr>
          <w:lang w:val="en-GB"/>
        </w:rPr>
        <w:t xml:space="preserve"> being conducted by both international organisations (ECDC, 2016), and individual countries, specifically those wishing to understand potential threats to their livestock populations and to avoid negative implications for trade of both live animals and animal products (Roberts et al., 2016).</w:t>
      </w:r>
      <w:r>
        <w:rPr>
          <w:lang w:val="en-GB"/>
        </w:rPr>
        <w:t xml:space="preserve"> </w:t>
      </w:r>
    </w:p>
    <w:p w14:paraId="1C43DD36" w14:textId="728D55AB" w:rsidR="00654257" w:rsidRDefault="00654257" w:rsidP="00D82F64">
      <w:pPr>
        <w:spacing w:before="240"/>
        <w:ind w:firstLine="284"/>
        <w:jc w:val="both"/>
        <w:rPr>
          <w:lang w:val="en-GB"/>
        </w:rPr>
      </w:pPr>
      <w:r w:rsidRPr="00654257">
        <w:rPr>
          <w:lang w:val="en-GB"/>
        </w:rPr>
        <w:t xml:space="preserve">One of the aims of the </w:t>
      </w:r>
      <w:r w:rsidR="000D41FA" w:rsidRPr="00C03000">
        <w:rPr>
          <w:lang w:val="en-GB"/>
        </w:rPr>
        <w:t xml:space="preserve">Animal Health and Welfare ERA-NET consortium </w:t>
      </w:r>
      <w:r w:rsidR="000D41FA">
        <w:rPr>
          <w:lang w:val="en-GB"/>
        </w:rPr>
        <w:t>(</w:t>
      </w:r>
      <w:r w:rsidRPr="00654257">
        <w:rPr>
          <w:lang w:val="en-GB"/>
        </w:rPr>
        <w:t>ANIHWA</w:t>
      </w:r>
      <w:r w:rsidR="000D41FA">
        <w:rPr>
          <w:lang w:val="en-GB"/>
        </w:rPr>
        <w:t>)</w:t>
      </w:r>
      <w:r w:rsidRPr="00654257">
        <w:rPr>
          <w:lang w:val="en-GB"/>
        </w:rPr>
        <w:t xml:space="preserve"> funded project SPARE ('Spatial risk assessment framework for assessing exotic disease incursion and spread through Europe') is to develop a generic risk assessment framework for the entry of exotic animal pathogens into the </w:t>
      </w:r>
      <w:r w:rsidR="00981AD4">
        <w:rPr>
          <w:lang w:val="en-GB"/>
        </w:rPr>
        <w:t>European Union (</w:t>
      </w:r>
      <w:r w:rsidRPr="00654257">
        <w:rPr>
          <w:lang w:val="en-GB"/>
        </w:rPr>
        <w:t>EU</w:t>
      </w:r>
      <w:r w:rsidR="00981AD4">
        <w:rPr>
          <w:lang w:val="en-GB"/>
        </w:rPr>
        <w:t>)</w:t>
      </w:r>
      <w:r w:rsidRPr="00654257">
        <w:rPr>
          <w:lang w:val="en-GB"/>
        </w:rPr>
        <w:t xml:space="preserve"> (SPARE, 2016). The first step in a risk assessment is termed the release or entry assessment. In general terms, this is defined as the ‘evaluation of the probability of introduction of an agent from its origin until the point of entry into a country or area’ (USDA, 2016). This necessitates the derivation of estimates for the animal disease situation in each ‘origin’ country of the world requiring data on animal disease prevalence </w:t>
      </w:r>
      <w:r w:rsidR="00981AD4">
        <w:rPr>
          <w:lang w:val="en-GB"/>
        </w:rPr>
        <w:t>(</w:t>
      </w:r>
      <w:r w:rsidRPr="00654257">
        <w:rPr>
          <w:lang w:val="en-GB"/>
        </w:rPr>
        <w:t>e.g. the number of recorded outbreaks per year</w:t>
      </w:r>
      <w:r w:rsidR="00981AD4">
        <w:rPr>
          <w:lang w:val="en-GB"/>
        </w:rPr>
        <w:t>)</w:t>
      </w:r>
      <w:r w:rsidRPr="00654257">
        <w:rPr>
          <w:lang w:val="en-GB"/>
        </w:rPr>
        <w:t xml:space="preserve">, and demographic livestock data </w:t>
      </w:r>
      <w:r w:rsidR="00981AD4">
        <w:rPr>
          <w:lang w:val="en-GB"/>
        </w:rPr>
        <w:t>(</w:t>
      </w:r>
      <w:r w:rsidRPr="00654257">
        <w:rPr>
          <w:lang w:val="en-GB"/>
        </w:rPr>
        <w:t>e.g. the total number of animals and farms per species</w:t>
      </w:r>
      <w:r w:rsidR="00981AD4">
        <w:rPr>
          <w:lang w:val="en-GB"/>
        </w:rPr>
        <w:t>)</w:t>
      </w:r>
      <w:r w:rsidRPr="00654257">
        <w:rPr>
          <w:lang w:val="en-GB"/>
        </w:rPr>
        <w:t>. In order to ensure a correct interpretation of these data, it is important that these data are comparable between countries. Furthermore, they should ideally arise from robust animal health surveillance which ensures that confidence in the health status of animals resident in the country of origin and those moving between countries is maintained and trade barriers are justified (</w:t>
      </w:r>
      <w:proofErr w:type="spellStart"/>
      <w:r w:rsidRPr="00654257">
        <w:rPr>
          <w:lang w:val="en-GB"/>
        </w:rPr>
        <w:t>Hoinville</w:t>
      </w:r>
      <w:proofErr w:type="spellEnd"/>
      <w:r w:rsidRPr="00654257">
        <w:rPr>
          <w:lang w:val="en-GB"/>
        </w:rPr>
        <w:t xml:space="preserve"> et al., 2013). </w:t>
      </w:r>
    </w:p>
    <w:p w14:paraId="728A2E3E" w14:textId="4B9D8561" w:rsidR="0002428E" w:rsidRDefault="00654257" w:rsidP="00D82F64">
      <w:pPr>
        <w:spacing w:before="240"/>
        <w:ind w:firstLine="284"/>
        <w:jc w:val="both"/>
        <w:rPr>
          <w:lang w:val="en-GB"/>
        </w:rPr>
      </w:pPr>
      <w:r w:rsidRPr="00654257">
        <w:rPr>
          <w:lang w:val="en-GB"/>
        </w:rPr>
        <w:lastRenderedPageBreak/>
        <w:t xml:space="preserve">One such data source is the World Animal Health Information Database (WAHIS) and its predecessor </w:t>
      </w:r>
      <w:proofErr w:type="spellStart"/>
      <w:r w:rsidRPr="00654257">
        <w:rPr>
          <w:lang w:val="en-GB"/>
        </w:rPr>
        <w:t>Handistatus</w:t>
      </w:r>
      <w:proofErr w:type="spellEnd"/>
      <w:r w:rsidRPr="00654257">
        <w:rPr>
          <w:lang w:val="en-GB"/>
        </w:rPr>
        <w:t xml:space="preserve"> II (OIE 2016</w:t>
      </w:r>
      <w:r w:rsidR="00D82F64">
        <w:rPr>
          <w:lang w:val="en-GB"/>
        </w:rPr>
        <w:t>a</w:t>
      </w:r>
      <w:r w:rsidRPr="00654257">
        <w:rPr>
          <w:lang w:val="en-GB"/>
        </w:rPr>
        <w:t>; OIE 2016</w:t>
      </w:r>
      <w:r w:rsidR="00D82F64">
        <w:rPr>
          <w:lang w:val="en-GB"/>
        </w:rPr>
        <w:t>b</w:t>
      </w:r>
      <w:r w:rsidRPr="00654257">
        <w:rPr>
          <w:lang w:val="en-GB"/>
        </w:rPr>
        <w:t>), which are maintained by the Office International des Epizooties (OIE). The OIE operates a global surveillance system which provides valuable data sources for animal diseases by collating information which all member countries (MCs) are obliged to report. The OIE is recognised as a reference organisation by the World Trade Organization and in 2016 has a total of 180 MCs. Each MC is expected to report the animal diseases that it detects within its territory. Therefore, the data available from the OIE database could be considered to be one of the most globally comprehensive. Nevertheless, all global datasets dealing with such data are inherently subject to differences in the quality of individual reporting and the monitoring systems for disease on which reports are based.  From the point of view of utilising the OIE data in a quantitative risk assessment, one of the most important issues is ‘missing data’, i.e. MCs where the data are only reported as presence of a disease, without a numerical estimate of scale, or for which no information is reported at all. Absence of reported disease could be considered to imply disease free status of a country, when in reality this may not be the case.</w:t>
      </w:r>
    </w:p>
    <w:p w14:paraId="3A1CEFA5" w14:textId="49B0572B" w:rsidR="00654257" w:rsidRPr="00654257" w:rsidRDefault="00654257" w:rsidP="00D82F64">
      <w:pPr>
        <w:spacing w:before="240"/>
        <w:ind w:firstLine="284"/>
        <w:jc w:val="both"/>
        <w:rPr>
          <w:lang w:val="en-GB"/>
        </w:rPr>
      </w:pPr>
      <w:r w:rsidRPr="00654257">
        <w:rPr>
          <w:lang w:val="en-GB"/>
        </w:rPr>
        <w:t>To assist in obtaining objective estimates for risk assessments</w:t>
      </w:r>
      <w:r w:rsidR="006E11E2">
        <w:rPr>
          <w:lang w:val="en-GB"/>
        </w:rPr>
        <w:t>,</w:t>
      </w:r>
      <w:r w:rsidRPr="00654257">
        <w:rPr>
          <w:lang w:val="en-GB"/>
        </w:rPr>
        <w:t xml:space="preserve"> it is therefore expedient to develop reliable methods that can utilise the data that are available to estimate values for MCs where data are missing. Previous research has used a number of different methods to deal with missing data in human health disease incidence datasets, including grouping countries based on predictive associations (McDonald et al., 2015). Presented here is the development of a method to obtain objective estimates for MCs with missing data. This method is illustrated with a case study for number of outbreaks of classical rabies in MCs, based on data on classical rabies outbreaks from the OIE databases (i.e. those outbreaks recorded as rabies). Results are presented to compare the effectiveness of the different grouping methods across multiple species by conducting statistical analysis of the results</w:t>
      </w:r>
      <w:r>
        <w:rPr>
          <w:lang w:val="en-GB"/>
        </w:rPr>
        <w:t xml:space="preserve"> for MCs with available data.  </w:t>
      </w:r>
    </w:p>
    <w:p w14:paraId="03224ECF" w14:textId="77777777" w:rsidR="0002428E" w:rsidRDefault="0002428E" w:rsidP="00D82F64">
      <w:pPr>
        <w:pStyle w:val="1stdegreeheading"/>
        <w:spacing w:before="120" w:after="0"/>
        <w:rPr>
          <w:lang w:val="en-GB"/>
        </w:rPr>
      </w:pPr>
    </w:p>
    <w:p w14:paraId="563601B6" w14:textId="77777777" w:rsidR="008C3249" w:rsidRPr="003A4337" w:rsidRDefault="008C3249" w:rsidP="00D82F64">
      <w:pPr>
        <w:pStyle w:val="1stdegreeheading"/>
        <w:spacing w:before="120" w:after="0"/>
        <w:rPr>
          <w:lang w:val="en-GB"/>
        </w:rPr>
      </w:pPr>
      <w:r w:rsidRPr="003A4337">
        <w:rPr>
          <w:lang w:val="en-GB"/>
        </w:rPr>
        <w:t>MATERIALS and methods</w:t>
      </w:r>
    </w:p>
    <w:p w14:paraId="70EC8AE4" w14:textId="77777777" w:rsidR="00C83B30" w:rsidRPr="003A4337" w:rsidRDefault="003A4337" w:rsidP="00D82F64">
      <w:pPr>
        <w:pStyle w:val="2nddegreeheading"/>
        <w:spacing w:after="0"/>
        <w:rPr>
          <w:lang w:val="en-GB"/>
        </w:rPr>
      </w:pPr>
      <w:r w:rsidRPr="003A4337">
        <w:rPr>
          <w:lang w:val="en-GB"/>
        </w:rPr>
        <w:t>Overview</w:t>
      </w:r>
    </w:p>
    <w:p w14:paraId="3D9953A0" w14:textId="331C642D" w:rsidR="003A4337" w:rsidRDefault="003A4337" w:rsidP="00D82F64">
      <w:pPr>
        <w:pStyle w:val="SVEPMParagraphFormat"/>
        <w:spacing w:before="240" w:after="0"/>
        <w:rPr>
          <w:lang w:val="en-GB"/>
        </w:rPr>
      </w:pPr>
      <w:r w:rsidRPr="003A4337">
        <w:rPr>
          <w:lang w:val="en-GB"/>
        </w:rPr>
        <w:t>For the purposes of the analysis presented here, and for future integration within a larger risk assessment model, it was decided that the method employed to fill the data gaps should, as far as possible, be automated with generic rules implemented when certain data are absent. An imputation method, sometimes termed ‘</w:t>
      </w:r>
      <w:proofErr w:type="spellStart"/>
      <w:r w:rsidRPr="003A4337">
        <w:rPr>
          <w:lang w:val="en-GB"/>
        </w:rPr>
        <w:t>farcasting</w:t>
      </w:r>
      <w:proofErr w:type="spellEnd"/>
      <w:r w:rsidRPr="003A4337">
        <w:rPr>
          <w:lang w:val="en-GB"/>
        </w:rPr>
        <w:t>’ by analogy with forecasting, was used whereby empirical models were fit to existing data and predictions were generated for the missing values from the fitted model (McDonald et al., 2015). To achieve this, countries were grouped together according to a predefined set of rules, all the historical data from the countries in each group were then combined and a probability distrib</w:t>
      </w:r>
      <w:r>
        <w:rPr>
          <w:lang w:val="en-GB"/>
        </w:rPr>
        <w:t>ution fit to these grouped data.</w:t>
      </w:r>
    </w:p>
    <w:p w14:paraId="3E29F246" w14:textId="633BF121" w:rsidR="003A4337" w:rsidRPr="003A4337" w:rsidRDefault="000D41FA" w:rsidP="00D82F64">
      <w:pPr>
        <w:pStyle w:val="2nddegreeheading"/>
        <w:spacing w:after="0"/>
        <w:rPr>
          <w:lang w:val="en-GB"/>
        </w:rPr>
      </w:pPr>
      <w:r>
        <w:rPr>
          <w:lang w:val="en-GB"/>
        </w:rPr>
        <w:t>Historical i</w:t>
      </w:r>
      <w:r w:rsidR="003A4337">
        <w:rPr>
          <w:lang w:val="en-GB"/>
        </w:rPr>
        <w:t>nput data</w:t>
      </w:r>
    </w:p>
    <w:p w14:paraId="6A403667" w14:textId="5940FBA4" w:rsidR="009D2163" w:rsidRDefault="009D2163" w:rsidP="0029247A">
      <w:pPr>
        <w:spacing w:before="240"/>
        <w:ind w:firstLine="284"/>
        <w:jc w:val="both"/>
        <w:rPr>
          <w:lang w:val="en-GB"/>
        </w:rPr>
      </w:pPr>
      <w:r w:rsidRPr="009D2163">
        <w:rPr>
          <w:lang w:val="en-GB"/>
        </w:rPr>
        <w:t xml:space="preserve">For the analysis presented here, the main inputs were the number of reported outbreaks and animal demographic data </w:t>
      </w:r>
      <w:r w:rsidR="006E11E2">
        <w:rPr>
          <w:lang w:val="en-GB"/>
        </w:rPr>
        <w:t>(</w:t>
      </w:r>
      <w:r w:rsidRPr="009D2163">
        <w:rPr>
          <w:lang w:val="en-GB"/>
        </w:rPr>
        <w:t>e.g. number of animals in a country</w:t>
      </w:r>
      <w:r w:rsidR="006E11E2">
        <w:rPr>
          <w:lang w:val="en-GB"/>
        </w:rPr>
        <w:t>)</w:t>
      </w:r>
      <w:r w:rsidRPr="009D2163">
        <w:rPr>
          <w:lang w:val="en-GB"/>
        </w:rPr>
        <w:t xml:space="preserve">. Data for the number of reported outbreaks by country, </w:t>
      </w:r>
      <w:r w:rsidR="00201630" w:rsidRPr="00D82F64">
        <w:rPr>
          <w:i/>
          <w:lang w:val="en-GB"/>
        </w:rPr>
        <w:t>k</w:t>
      </w:r>
      <w:r w:rsidRPr="009D2163">
        <w:rPr>
          <w:i/>
          <w:lang w:val="en-GB"/>
        </w:rPr>
        <w:t xml:space="preserve">, </w:t>
      </w:r>
      <w:r w:rsidRPr="009D2163">
        <w:rPr>
          <w:lang w:val="en-GB"/>
        </w:rPr>
        <w:t xml:space="preserve">species, </w:t>
      </w:r>
      <w:r w:rsidRPr="009D2163">
        <w:rPr>
          <w:i/>
          <w:lang w:val="en-GB"/>
        </w:rPr>
        <w:t xml:space="preserve">s, </w:t>
      </w:r>
      <w:r w:rsidRPr="009D2163">
        <w:rPr>
          <w:lang w:val="en-GB"/>
        </w:rPr>
        <w:t>and year</w:t>
      </w:r>
      <w:r w:rsidRPr="009D2163">
        <w:rPr>
          <w:i/>
          <w:lang w:val="en-GB"/>
        </w:rPr>
        <w:t>, y</w:t>
      </w:r>
      <w:r w:rsidRPr="009D2163">
        <w:rPr>
          <w:lang w:val="en-GB"/>
        </w:rPr>
        <w:t xml:space="preserve">, </w:t>
      </w:r>
      <w:proofErr w:type="gramStart"/>
      <w:r w:rsidRPr="009D2163">
        <w:rPr>
          <w:i/>
          <w:lang w:val="en-GB"/>
        </w:rPr>
        <w:t>N</w:t>
      </w:r>
      <w:r w:rsidRPr="009D2163">
        <w:rPr>
          <w:i/>
          <w:vertAlign w:val="subscript"/>
          <w:lang w:val="en-GB"/>
        </w:rPr>
        <w:t>ob</w:t>
      </w:r>
      <w:r w:rsidRPr="009D2163">
        <w:rPr>
          <w:i/>
          <w:lang w:val="en-GB"/>
        </w:rPr>
        <w:t>(</w:t>
      </w:r>
      <w:proofErr w:type="spellStart"/>
      <w:proofErr w:type="gramEnd"/>
      <w:r w:rsidR="00201630">
        <w:rPr>
          <w:i/>
          <w:lang w:val="en-GB"/>
        </w:rPr>
        <w:t>k</w:t>
      </w:r>
      <w:r w:rsidRPr="009D2163">
        <w:rPr>
          <w:i/>
          <w:lang w:val="en-GB"/>
        </w:rPr>
        <w:t>,s,y</w:t>
      </w:r>
      <w:proofErr w:type="spellEnd"/>
      <w:r w:rsidRPr="009D2163">
        <w:rPr>
          <w:i/>
          <w:lang w:val="en-GB"/>
        </w:rPr>
        <w:t>),</w:t>
      </w:r>
      <w:r w:rsidRPr="009D2163">
        <w:rPr>
          <w:lang w:val="en-GB"/>
        </w:rPr>
        <w:t xml:space="preserve"> were obtained from all 180 </w:t>
      </w:r>
      <w:r w:rsidR="00BE7E11">
        <w:rPr>
          <w:lang w:val="en-GB"/>
        </w:rPr>
        <w:t xml:space="preserve">MCs </w:t>
      </w:r>
      <w:r w:rsidRPr="009D2163">
        <w:rPr>
          <w:lang w:val="en-GB"/>
        </w:rPr>
        <w:t xml:space="preserve">in the OIE databases over the years 1996-2014. The following species were considered for this analysis: pigs, cattle, sheep, goats, cats, dogs. For the period 1996-2005 these data were obtained from </w:t>
      </w:r>
      <w:proofErr w:type="spellStart"/>
      <w:r w:rsidRPr="009D2163">
        <w:rPr>
          <w:lang w:val="en-GB"/>
        </w:rPr>
        <w:t>Handistatus</w:t>
      </w:r>
      <w:proofErr w:type="spellEnd"/>
      <w:r w:rsidRPr="009D2163">
        <w:rPr>
          <w:lang w:val="en-GB"/>
        </w:rPr>
        <w:t xml:space="preserve"> II (OIE, 2016</w:t>
      </w:r>
      <w:r w:rsidR="00D82F64">
        <w:rPr>
          <w:lang w:val="en-GB"/>
        </w:rPr>
        <w:t>b</w:t>
      </w:r>
      <w:r w:rsidRPr="009D2163">
        <w:rPr>
          <w:lang w:val="en-GB"/>
        </w:rPr>
        <w:t xml:space="preserve">). For the period 2005-2014 these </w:t>
      </w:r>
      <w:r w:rsidRPr="009D2163">
        <w:rPr>
          <w:lang w:val="en-GB"/>
        </w:rPr>
        <w:lastRenderedPageBreak/>
        <w:t>data were obtained from the country annual reports, located in the OIE reporting history section of the WAHIS interface (OIE, 2016</w:t>
      </w:r>
      <w:r w:rsidR="00D82F64">
        <w:rPr>
          <w:lang w:val="en-GB"/>
        </w:rPr>
        <w:t>a</w:t>
      </w:r>
      <w:r w:rsidRPr="009D2163">
        <w:rPr>
          <w:lang w:val="en-GB"/>
        </w:rPr>
        <w:t xml:space="preserve">). Where no reports were available for a country, the data was considered to be missing. Species breakdown of the number of outbreaks were not readily available from the WAHIS data and so were estimated based on the average proportion of cases attributed to each species from both the WAHIS and </w:t>
      </w:r>
      <w:proofErr w:type="spellStart"/>
      <w:r w:rsidRPr="009D2163">
        <w:rPr>
          <w:lang w:val="en-GB"/>
        </w:rPr>
        <w:t>Handistatus</w:t>
      </w:r>
      <w:proofErr w:type="spellEnd"/>
      <w:r w:rsidRPr="009D2163">
        <w:rPr>
          <w:lang w:val="en-GB"/>
        </w:rPr>
        <w:t xml:space="preserve"> data</w:t>
      </w:r>
      <w:r w:rsidR="0029247A">
        <w:rPr>
          <w:lang w:val="en-GB"/>
        </w:rPr>
        <w:t xml:space="preserve">, e.g. if there were 100 outbreaks of rabies reported in the data and the ratio of reported cases from the available data was 40% pigs and 60% cattle, then it was assumed that 40 outbreaks were attributed to pigs and 60 to cattle. </w:t>
      </w:r>
    </w:p>
    <w:p w14:paraId="3C73F87E" w14:textId="424E7A85" w:rsidR="009D2163" w:rsidRDefault="009D2163" w:rsidP="005416CB">
      <w:pPr>
        <w:spacing w:before="240"/>
        <w:ind w:firstLine="284"/>
        <w:jc w:val="both"/>
        <w:rPr>
          <w:lang w:val="en-GB"/>
        </w:rPr>
      </w:pPr>
      <w:r w:rsidRPr="009D2163">
        <w:rPr>
          <w:lang w:val="en-GB"/>
        </w:rPr>
        <w:t xml:space="preserve">There were considerable differences in the animal demographics between countries which could influence the number of recorded outbreaks. Therefore, to obtain a statistic that was comparable between countries the number of outbreaks was weighted by an animal demographic metric; the number of ‘animal establishments' by country and species, </w:t>
      </w:r>
      <w:proofErr w:type="gramStart"/>
      <w:r w:rsidRPr="009D2163">
        <w:rPr>
          <w:i/>
          <w:lang w:val="en-GB"/>
        </w:rPr>
        <w:t>N</w:t>
      </w:r>
      <w:r w:rsidRPr="009D2163">
        <w:rPr>
          <w:i/>
          <w:vertAlign w:val="subscript"/>
          <w:lang w:val="en-GB"/>
        </w:rPr>
        <w:t>est</w:t>
      </w:r>
      <w:r w:rsidRPr="009D2163">
        <w:rPr>
          <w:i/>
          <w:lang w:val="en-GB"/>
        </w:rPr>
        <w:t>(</w:t>
      </w:r>
      <w:proofErr w:type="spellStart"/>
      <w:proofErr w:type="gramEnd"/>
      <w:r w:rsidR="00201630">
        <w:rPr>
          <w:i/>
          <w:lang w:val="en-GB"/>
        </w:rPr>
        <w:t>k</w:t>
      </w:r>
      <w:r w:rsidRPr="009D2163">
        <w:rPr>
          <w:i/>
          <w:lang w:val="en-GB"/>
        </w:rPr>
        <w:t>,s</w:t>
      </w:r>
      <w:proofErr w:type="spellEnd"/>
      <w:r w:rsidRPr="009D2163">
        <w:rPr>
          <w:lang w:val="en-GB"/>
        </w:rPr>
        <w:t>). For pigs, cattle, sheep and goats this was the number of animal establishments as defined in the WAHIS database for 2014; this is e</w:t>
      </w:r>
      <w:r w:rsidR="00231623">
        <w:rPr>
          <w:lang w:val="en-GB"/>
        </w:rPr>
        <w:t>ssentially equivalent to farms.</w:t>
      </w:r>
      <w:r w:rsidR="0029161C" w:rsidRPr="0029161C">
        <w:rPr>
          <w:lang w:val="en-GB"/>
        </w:rPr>
        <w:t xml:space="preserve"> </w:t>
      </w:r>
      <w:r w:rsidR="0029161C" w:rsidRPr="009D2163">
        <w:rPr>
          <w:lang w:val="en-GB"/>
        </w:rPr>
        <w:t xml:space="preserve">In the absence of reliable data, it was assumed that it was acceptable to treat cats and dogs as single entities, i.e. the number of establishments was equal to the number of animals. </w:t>
      </w:r>
      <w:r w:rsidR="00231623">
        <w:rPr>
          <w:lang w:val="en-GB"/>
        </w:rPr>
        <w:t xml:space="preserve"> </w:t>
      </w:r>
      <w:r w:rsidR="00306977">
        <w:rPr>
          <w:lang w:val="en-GB"/>
        </w:rPr>
        <w:t>The average number of animals per farm was</w:t>
      </w:r>
      <w:r w:rsidR="0029161C">
        <w:rPr>
          <w:lang w:val="en-GB"/>
        </w:rPr>
        <w:t xml:space="preserve"> considered as an alternative statistic, but as it was</w:t>
      </w:r>
      <w:r w:rsidR="00306977">
        <w:rPr>
          <w:lang w:val="en-GB"/>
        </w:rPr>
        <w:t xml:space="preserve"> not</w:t>
      </w:r>
      <w:r w:rsidR="0029161C">
        <w:rPr>
          <w:lang w:val="en-GB"/>
        </w:rPr>
        <w:t xml:space="preserve"> directly reported in the OIE database, </w:t>
      </w:r>
      <w:r w:rsidR="00F124C0">
        <w:rPr>
          <w:lang w:val="en-GB"/>
        </w:rPr>
        <w:t xml:space="preserve">it was decided that </w:t>
      </w:r>
      <w:r w:rsidR="0029161C">
        <w:rPr>
          <w:lang w:val="en-GB"/>
        </w:rPr>
        <w:t xml:space="preserve">the additional level of uncertainty in deriving this estimate was </w:t>
      </w:r>
      <w:r w:rsidR="00F124C0">
        <w:rPr>
          <w:lang w:val="en-GB"/>
        </w:rPr>
        <w:t>too great</w:t>
      </w:r>
      <w:r w:rsidR="00CE3A46">
        <w:rPr>
          <w:lang w:val="en-GB"/>
        </w:rPr>
        <w:t xml:space="preserve">; for example it was not clear for some countries whether the farms were made up of lots of farms of average size, a few very large farms, or lots of small ‘back yard’ farms. </w:t>
      </w:r>
      <w:r w:rsidR="0029161C">
        <w:rPr>
          <w:lang w:val="en-GB"/>
        </w:rPr>
        <w:t>While t</w:t>
      </w:r>
      <w:r w:rsidRPr="009D2163">
        <w:rPr>
          <w:lang w:val="en-GB"/>
        </w:rPr>
        <w:t>he reporting of the</w:t>
      </w:r>
      <w:r w:rsidR="00BB5F49">
        <w:rPr>
          <w:lang w:val="en-GB"/>
        </w:rPr>
        <w:t xml:space="preserve"> </w:t>
      </w:r>
      <w:r w:rsidRPr="009D2163">
        <w:rPr>
          <w:lang w:val="en-GB"/>
        </w:rPr>
        <w:t xml:space="preserve">data </w:t>
      </w:r>
      <w:r w:rsidR="00BB5F49">
        <w:rPr>
          <w:lang w:val="en-GB"/>
        </w:rPr>
        <w:t xml:space="preserve">for number of establishments </w:t>
      </w:r>
      <w:r w:rsidR="00231623">
        <w:rPr>
          <w:lang w:val="en-GB"/>
        </w:rPr>
        <w:t>was</w:t>
      </w:r>
      <w:r w:rsidRPr="009D2163">
        <w:rPr>
          <w:lang w:val="en-GB"/>
        </w:rPr>
        <w:t xml:space="preserve"> sporadic and </w:t>
      </w:r>
      <w:r w:rsidR="0029161C">
        <w:rPr>
          <w:lang w:val="en-GB"/>
        </w:rPr>
        <w:t xml:space="preserve">also </w:t>
      </w:r>
      <w:r w:rsidRPr="009D2163">
        <w:rPr>
          <w:lang w:val="en-GB"/>
        </w:rPr>
        <w:t>appear</w:t>
      </w:r>
      <w:r w:rsidR="00BB5F49">
        <w:rPr>
          <w:lang w:val="en-GB"/>
        </w:rPr>
        <w:t>ed</w:t>
      </w:r>
      <w:r w:rsidRPr="009D2163">
        <w:rPr>
          <w:lang w:val="en-GB"/>
        </w:rPr>
        <w:t xml:space="preserve"> to be subject to uncertainty </w:t>
      </w:r>
      <w:r w:rsidR="002E3EE4">
        <w:rPr>
          <w:lang w:val="en-GB"/>
        </w:rPr>
        <w:t>(</w:t>
      </w:r>
      <w:r w:rsidR="0029161C">
        <w:rPr>
          <w:lang w:val="en-GB"/>
        </w:rPr>
        <w:t>e.g.</w:t>
      </w:r>
      <w:r w:rsidRPr="009D2163">
        <w:rPr>
          <w:lang w:val="en-GB"/>
        </w:rPr>
        <w:t xml:space="preserve"> the same numbers of livestock/farms in a country being reported for numerous consecutive years, when one would expect some variation as animal production systems are dynamic and vulnerable to external factors</w:t>
      </w:r>
      <w:r w:rsidR="002E3EE4">
        <w:rPr>
          <w:lang w:val="en-GB"/>
        </w:rPr>
        <w:t>)</w:t>
      </w:r>
      <w:r w:rsidR="0029161C">
        <w:rPr>
          <w:lang w:val="en-GB"/>
        </w:rPr>
        <w:t>, the value was directly reported in the OIE data and so considered to have less uncertainty than the number of animals per farm</w:t>
      </w:r>
      <w:r w:rsidRPr="009D2163">
        <w:rPr>
          <w:lang w:val="en-GB"/>
        </w:rPr>
        <w:t xml:space="preserve">. </w:t>
      </w:r>
      <w:r w:rsidR="0029161C">
        <w:rPr>
          <w:lang w:val="en-GB"/>
        </w:rPr>
        <w:t>However, due to the high level of uncertainty,</w:t>
      </w:r>
      <w:r w:rsidRPr="009D2163">
        <w:rPr>
          <w:lang w:val="en-GB"/>
        </w:rPr>
        <w:t xml:space="preserve"> only one point estimate of number of animal establishments was used, rather than </w:t>
      </w:r>
      <w:r w:rsidR="005416CB">
        <w:rPr>
          <w:lang w:val="en-GB"/>
        </w:rPr>
        <w:t xml:space="preserve">an </w:t>
      </w:r>
      <w:r w:rsidRPr="009D2163">
        <w:rPr>
          <w:lang w:val="en-GB"/>
        </w:rPr>
        <w:t>attempt to estimate values for each year. If these data were not recorded in the 2014 annual report, then the most recent historical observations were used. Data on the numbers of cats and dogs per country were estimated based on a collection of previous studies/literature reviews (OIE 2016</w:t>
      </w:r>
      <w:r w:rsidR="00D82F64">
        <w:rPr>
          <w:lang w:val="en-GB"/>
        </w:rPr>
        <w:t>a</w:t>
      </w:r>
      <w:r w:rsidRPr="009D2163">
        <w:rPr>
          <w:lang w:val="en-GB"/>
        </w:rPr>
        <w:t>; WSPA 2008; FEDIAF 2014)</w:t>
      </w:r>
      <w:r>
        <w:rPr>
          <w:lang w:val="en-GB"/>
        </w:rPr>
        <w:t>.</w:t>
      </w:r>
    </w:p>
    <w:p w14:paraId="3E528882" w14:textId="292EB925" w:rsidR="002E3EE4" w:rsidRDefault="009D2163" w:rsidP="00D82F64">
      <w:pPr>
        <w:spacing w:before="240"/>
        <w:ind w:firstLine="284"/>
        <w:jc w:val="both"/>
        <w:rPr>
          <w:i/>
          <w:lang w:val="en-GB"/>
        </w:rPr>
      </w:pPr>
      <w:r w:rsidRPr="009D2163">
        <w:rPr>
          <w:lang w:val="en-GB"/>
        </w:rPr>
        <w:t xml:space="preserve">The number of outbreaks, </w:t>
      </w:r>
      <w:proofErr w:type="gramStart"/>
      <w:r w:rsidRPr="009D2163">
        <w:rPr>
          <w:i/>
          <w:lang w:val="en-GB"/>
        </w:rPr>
        <w:t>N</w:t>
      </w:r>
      <w:r w:rsidRPr="009D2163">
        <w:rPr>
          <w:i/>
          <w:vertAlign w:val="subscript"/>
          <w:lang w:val="en-GB"/>
        </w:rPr>
        <w:t>ob</w:t>
      </w:r>
      <w:r w:rsidRPr="009D2163">
        <w:rPr>
          <w:i/>
          <w:lang w:val="en-GB"/>
        </w:rPr>
        <w:t>(</w:t>
      </w:r>
      <w:proofErr w:type="spellStart"/>
      <w:proofErr w:type="gramEnd"/>
      <w:r w:rsidR="00201630">
        <w:rPr>
          <w:i/>
          <w:lang w:val="en-GB"/>
        </w:rPr>
        <w:t>k</w:t>
      </w:r>
      <w:r w:rsidRPr="009D2163">
        <w:rPr>
          <w:i/>
          <w:lang w:val="en-GB"/>
        </w:rPr>
        <w:t>,s,y</w:t>
      </w:r>
      <w:proofErr w:type="spellEnd"/>
      <w:r w:rsidRPr="009D2163">
        <w:rPr>
          <w:i/>
          <w:lang w:val="en-GB"/>
        </w:rPr>
        <w:t>)</w:t>
      </w:r>
      <w:r w:rsidRPr="009D2163">
        <w:rPr>
          <w:lang w:val="en-GB"/>
        </w:rPr>
        <w:t xml:space="preserve"> was divided by the number of establishments, </w:t>
      </w:r>
      <w:r w:rsidRPr="009D2163">
        <w:rPr>
          <w:i/>
          <w:lang w:val="en-GB"/>
        </w:rPr>
        <w:t>N</w:t>
      </w:r>
      <w:r w:rsidRPr="009D2163">
        <w:rPr>
          <w:i/>
          <w:vertAlign w:val="subscript"/>
          <w:lang w:val="en-GB"/>
        </w:rPr>
        <w:t>est</w:t>
      </w:r>
      <w:r w:rsidRPr="009D2163">
        <w:rPr>
          <w:i/>
          <w:lang w:val="en-GB"/>
        </w:rPr>
        <w:t>(</w:t>
      </w:r>
      <w:proofErr w:type="spellStart"/>
      <w:r w:rsidR="00201630">
        <w:rPr>
          <w:i/>
          <w:lang w:val="en-GB"/>
        </w:rPr>
        <w:t>k</w:t>
      </w:r>
      <w:r w:rsidRPr="009D2163">
        <w:rPr>
          <w:i/>
          <w:lang w:val="en-GB"/>
        </w:rPr>
        <w:t>,s</w:t>
      </w:r>
      <w:proofErr w:type="spellEnd"/>
      <w:r w:rsidRPr="009D2163">
        <w:rPr>
          <w:lang w:val="en-GB"/>
        </w:rPr>
        <w:t xml:space="preserve">), to obtain the ‘establishment prevalence’ of disease by country, </w:t>
      </w:r>
      <w:r w:rsidR="00201630">
        <w:rPr>
          <w:i/>
          <w:lang w:val="en-GB"/>
        </w:rPr>
        <w:t>k</w:t>
      </w:r>
      <w:r w:rsidRPr="009D2163">
        <w:rPr>
          <w:lang w:val="en-GB"/>
        </w:rPr>
        <w:t xml:space="preserve">, species, </w:t>
      </w:r>
      <w:r w:rsidRPr="009D2163">
        <w:rPr>
          <w:i/>
          <w:lang w:val="en-GB"/>
        </w:rPr>
        <w:t>s</w:t>
      </w:r>
      <w:r w:rsidRPr="009D2163">
        <w:rPr>
          <w:lang w:val="en-GB"/>
        </w:rPr>
        <w:t xml:space="preserve"> and year, </w:t>
      </w:r>
      <w:r w:rsidRPr="009D2163">
        <w:rPr>
          <w:i/>
          <w:lang w:val="en-GB"/>
        </w:rPr>
        <w:t>y,</w:t>
      </w:r>
      <w:r w:rsidRPr="009D2163">
        <w:rPr>
          <w:lang w:val="en-GB"/>
        </w:rPr>
        <w:t xml:space="preserve"> </w:t>
      </w:r>
      <w:r w:rsidRPr="009D2163">
        <w:rPr>
          <w:i/>
          <w:lang w:val="en-GB"/>
        </w:rPr>
        <w:t>P</w:t>
      </w:r>
      <w:r w:rsidRPr="009D2163">
        <w:rPr>
          <w:i/>
          <w:vertAlign w:val="subscript"/>
          <w:lang w:val="en-GB"/>
        </w:rPr>
        <w:t>est</w:t>
      </w:r>
      <w:r w:rsidRPr="009D2163">
        <w:rPr>
          <w:i/>
          <w:lang w:val="en-GB"/>
        </w:rPr>
        <w:t>(</w:t>
      </w:r>
      <w:proofErr w:type="spellStart"/>
      <w:r w:rsidR="00201630">
        <w:rPr>
          <w:i/>
          <w:lang w:val="en-GB"/>
        </w:rPr>
        <w:t>k</w:t>
      </w:r>
      <w:r w:rsidRPr="009D2163">
        <w:rPr>
          <w:i/>
          <w:lang w:val="en-GB"/>
        </w:rPr>
        <w:t>,s,y</w:t>
      </w:r>
      <w:proofErr w:type="spellEnd"/>
      <w:r w:rsidRPr="009D2163">
        <w:rPr>
          <w:i/>
          <w:lang w:val="en-GB"/>
        </w:rPr>
        <w:t>)</w:t>
      </w:r>
      <w:r w:rsidR="001C0604">
        <w:rPr>
          <w:i/>
          <w:lang w:val="en-GB"/>
        </w:rPr>
        <w:t xml:space="preserve"> </w:t>
      </w:r>
      <w:r w:rsidR="001C0604">
        <w:rPr>
          <w:lang w:val="en-GB"/>
        </w:rPr>
        <w:t>(Eq. 1)</w:t>
      </w:r>
      <w:r w:rsidR="00201630" w:rsidRPr="0060264B">
        <w:rPr>
          <w:lang w:val="en-GB"/>
        </w:rPr>
        <w:t>;</w:t>
      </w:r>
      <w:r w:rsidR="00201630">
        <w:rPr>
          <w:i/>
          <w:lang w:val="en-GB"/>
        </w:rPr>
        <w:t xml:space="preserve"> </w:t>
      </w:r>
    </w:p>
    <w:p w14:paraId="4810C2E7" w14:textId="4A280D9B" w:rsidR="009D2163" w:rsidRPr="002E3EE4" w:rsidRDefault="00201630" w:rsidP="0060264B">
      <w:pPr>
        <w:spacing w:before="240"/>
        <w:jc w:val="right"/>
        <w:rPr>
          <w:lang w:val="en-GB"/>
        </w:rPr>
      </w:pPr>
      <w:proofErr w:type="gramStart"/>
      <w:r>
        <w:rPr>
          <w:i/>
          <w:lang w:val="en-GB"/>
        </w:rPr>
        <w:t>P</w:t>
      </w:r>
      <w:r>
        <w:rPr>
          <w:i/>
          <w:vertAlign w:val="subscript"/>
          <w:lang w:val="en-GB"/>
        </w:rPr>
        <w:t>est</w:t>
      </w:r>
      <w:r>
        <w:rPr>
          <w:i/>
          <w:lang w:val="en-GB"/>
        </w:rPr>
        <w:t>(</w:t>
      </w:r>
      <w:proofErr w:type="spellStart"/>
      <w:proofErr w:type="gramEnd"/>
      <w:r>
        <w:rPr>
          <w:i/>
          <w:lang w:val="en-GB"/>
        </w:rPr>
        <w:t>k,s,y</w:t>
      </w:r>
      <w:proofErr w:type="spellEnd"/>
      <w:r>
        <w:rPr>
          <w:i/>
          <w:lang w:val="en-GB"/>
        </w:rPr>
        <w:t>) = N</w:t>
      </w:r>
      <w:r>
        <w:rPr>
          <w:i/>
          <w:vertAlign w:val="subscript"/>
          <w:lang w:val="en-GB"/>
        </w:rPr>
        <w:t>ob</w:t>
      </w:r>
      <w:r>
        <w:rPr>
          <w:i/>
          <w:lang w:val="en-GB"/>
        </w:rPr>
        <w:t>(</w:t>
      </w:r>
      <w:proofErr w:type="spellStart"/>
      <w:r>
        <w:rPr>
          <w:i/>
          <w:lang w:val="en-GB"/>
        </w:rPr>
        <w:t>k,s,y</w:t>
      </w:r>
      <w:proofErr w:type="spellEnd"/>
      <w:r>
        <w:rPr>
          <w:i/>
          <w:lang w:val="en-GB"/>
        </w:rPr>
        <w:t>) / N</w:t>
      </w:r>
      <w:r>
        <w:rPr>
          <w:i/>
          <w:vertAlign w:val="subscript"/>
          <w:lang w:val="en-GB"/>
        </w:rPr>
        <w:t>est</w:t>
      </w:r>
      <w:r>
        <w:rPr>
          <w:i/>
          <w:lang w:val="en-GB"/>
        </w:rPr>
        <w:t>(</w:t>
      </w:r>
      <w:proofErr w:type="spellStart"/>
      <w:r>
        <w:rPr>
          <w:i/>
          <w:lang w:val="en-GB"/>
        </w:rPr>
        <w:t>k,s,y</w:t>
      </w:r>
      <w:proofErr w:type="spellEnd"/>
      <w:r>
        <w:rPr>
          <w:i/>
          <w:lang w:val="en-GB"/>
        </w:rPr>
        <w:t>)</w:t>
      </w:r>
      <w:r w:rsidR="002E3EE4">
        <w:rPr>
          <w:i/>
          <w:lang w:val="en-GB"/>
        </w:rPr>
        <w:tab/>
      </w:r>
      <w:r w:rsidR="002E3EE4">
        <w:rPr>
          <w:i/>
          <w:lang w:val="en-GB"/>
        </w:rPr>
        <w:tab/>
      </w:r>
      <w:r w:rsidR="002E3EE4">
        <w:rPr>
          <w:i/>
          <w:lang w:val="en-GB"/>
        </w:rPr>
        <w:tab/>
      </w:r>
      <w:r w:rsidR="002E3EE4">
        <w:rPr>
          <w:i/>
          <w:lang w:val="en-GB"/>
        </w:rPr>
        <w:tab/>
      </w:r>
      <w:r w:rsidR="002E3EE4">
        <w:rPr>
          <w:lang w:val="en-GB"/>
        </w:rPr>
        <w:t>(</w:t>
      </w:r>
      <w:r w:rsidR="001C0604">
        <w:rPr>
          <w:lang w:val="en-GB"/>
        </w:rPr>
        <w:t>1</w:t>
      </w:r>
      <w:r w:rsidR="002E3EE4">
        <w:rPr>
          <w:lang w:val="en-GB"/>
        </w:rPr>
        <w:t>)</w:t>
      </w:r>
    </w:p>
    <w:p w14:paraId="75D41E49" w14:textId="659AC2CA" w:rsidR="001C0604" w:rsidRDefault="00565818" w:rsidP="001C0604">
      <w:pPr>
        <w:pStyle w:val="2nddegreeheading"/>
        <w:spacing w:before="0" w:after="0"/>
        <w:rPr>
          <w:lang w:val="en-GB"/>
        </w:rPr>
      </w:pPr>
      <w:r>
        <w:rPr>
          <w:lang w:val="en-GB"/>
        </w:rPr>
        <w:t>Groupings of countries</w:t>
      </w:r>
    </w:p>
    <w:p w14:paraId="7D2FAB5A" w14:textId="77777777" w:rsidR="001C0604" w:rsidRPr="001C0604" w:rsidRDefault="001C0604" w:rsidP="001C0604">
      <w:pPr>
        <w:pStyle w:val="SVEPMParagraphFormat"/>
        <w:spacing w:after="0"/>
        <w:rPr>
          <w:lang w:val="en-GB"/>
        </w:rPr>
      </w:pPr>
    </w:p>
    <w:p w14:paraId="71B79E11" w14:textId="38144275" w:rsidR="000D41FA" w:rsidRDefault="00565818" w:rsidP="001C0604">
      <w:pPr>
        <w:ind w:firstLine="284"/>
        <w:jc w:val="both"/>
        <w:rPr>
          <w:lang w:val="en-GB"/>
        </w:rPr>
      </w:pPr>
      <w:r w:rsidRPr="00565818">
        <w:rPr>
          <w:lang w:val="en-GB"/>
        </w:rPr>
        <w:t>It was essential that the country grouping method was relevant to the subject matter and provided robust predictions. A number of different measures</w:t>
      </w:r>
      <w:r w:rsidR="005550B3">
        <w:rPr>
          <w:lang w:val="en-GB"/>
        </w:rPr>
        <w:t xml:space="preserve">, </w:t>
      </w:r>
      <w:r w:rsidR="005550B3">
        <w:rPr>
          <w:i/>
          <w:lang w:val="en-GB"/>
        </w:rPr>
        <w:t>G,</w:t>
      </w:r>
      <w:r w:rsidRPr="00565818">
        <w:rPr>
          <w:lang w:val="en-GB"/>
        </w:rPr>
        <w:t xml:space="preserve"> for grouping countries were investigated, with six different grouping</w:t>
      </w:r>
      <w:r w:rsidR="005416CB">
        <w:rPr>
          <w:lang w:val="en-GB"/>
        </w:rPr>
        <w:t>s</w:t>
      </w:r>
      <w:r w:rsidRPr="00565818">
        <w:rPr>
          <w:lang w:val="en-GB"/>
        </w:rPr>
        <w:t xml:space="preserve"> considered in this analysis. Two groupings were the official </w:t>
      </w:r>
      <w:r w:rsidR="00CE0A87">
        <w:rPr>
          <w:lang w:val="en-GB"/>
        </w:rPr>
        <w:t>United Nations (</w:t>
      </w:r>
      <w:r w:rsidRPr="00565818">
        <w:rPr>
          <w:lang w:val="en-GB"/>
        </w:rPr>
        <w:t>UN</w:t>
      </w:r>
      <w:r w:rsidR="00CE0A87">
        <w:rPr>
          <w:lang w:val="en-GB"/>
        </w:rPr>
        <w:t>)</w:t>
      </w:r>
      <w:r w:rsidRPr="00565818">
        <w:rPr>
          <w:lang w:val="en-GB"/>
        </w:rPr>
        <w:t xml:space="preserve"> geographical regions and sub regions, </w:t>
      </w:r>
      <w:proofErr w:type="spellStart"/>
      <w:r w:rsidRPr="00565818">
        <w:rPr>
          <w:i/>
          <w:lang w:val="en-GB"/>
        </w:rPr>
        <w:t>UNregion</w:t>
      </w:r>
      <w:proofErr w:type="spellEnd"/>
      <w:r w:rsidRPr="00565818">
        <w:rPr>
          <w:lang w:val="en-GB"/>
        </w:rPr>
        <w:t xml:space="preserve">, </w:t>
      </w:r>
      <w:proofErr w:type="spellStart"/>
      <w:r w:rsidRPr="00565818">
        <w:rPr>
          <w:i/>
          <w:lang w:val="en-GB"/>
        </w:rPr>
        <w:t>UNsubRegion</w:t>
      </w:r>
      <w:proofErr w:type="spellEnd"/>
      <w:r w:rsidRPr="00565818">
        <w:rPr>
          <w:lang w:val="en-GB"/>
        </w:rPr>
        <w:t xml:space="preserve">, respectively (UN, 2016). A further grouping, </w:t>
      </w:r>
      <w:proofErr w:type="spellStart"/>
      <w:r w:rsidRPr="00565818">
        <w:rPr>
          <w:i/>
          <w:lang w:val="en-GB"/>
        </w:rPr>
        <w:t>AltUNsubregion</w:t>
      </w:r>
      <w:proofErr w:type="spellEnd"/>
      <w:r w:rsidRPr="00565818">
        <w:rPr>
          <w:lang w:val="en-GB"/>
        </w:rPr>
        <w:t xml:space="preserve">, developed in a previous analysis was a modified version of the </w:t>
      </w:r>
      <w:proofErr w:type="spellStart"/>
      <w:r w:rsidRPr="00565818">
        <w:rPr>
          <w:i/>
          <w:lang w:val="en-GB"/>
        </w:rPr>
        <w:t>UNsubRegion</w:t>
      </w:r>
      <w:proofErr w:type="spellEnd"/>
      <w:r w:rsidRPr="00565818">
        <w:rPr>
          <w:lang w:val="en-GB"/>
        </w:rPr>
        <w:t xml:space="preserve"> accounting for some specific epidemiological considerations (Adkin et al., 2004). Two further groupings used k-means cluster analysis to group countries into 5 and 10 groups based on Gross domestic product (GDP) per person, </w:t>
      </w:r>
      <w:r w:rsidRPr="00565818">
        <w:rPr>
          <w:i/>
          <w:lang w:val="en-GB"/>
        </w:rPr>
        <w:t>Gdp5</w:t>
      </w:r>
      <w:r w:rsidRPr="00565818">
        <w:rPr>
          <w:lang w:val="en-GB"/>
        </w:rPr>
        <w:t xml:space="preserve"> and </w:t>
      </w:r>
      <w:r w:rsidRPr="00565818">
        <w:rPr>
          <w:i/>
          <w:lang w:val="en-GB"/>
        </w:rPr>
        <w:t>Gdp10</w:t>
      </w:r>
      <w:r w:rsidRPr="00565818">
        <w:rPr>
          <w:lang w:val="en-GB"/>
        </w:rPr>
        <w:t xml:space="preserve"> respectively, under the hypothesis that a country’s economic activity might be proportionate to its disease prevalence and/or livestock </w:t>
      </w:r>
      <w:r w:rsidRPr="00565818">
        <w:rPr>
          <w:lang w:val="en-GB"/>
        </w:rPr>
        <w:lastRenderedPageBreak/>
        <w:t xml:space="preserve">demographics (Jacobsen </w:t>
      </w:r>
      <w:r w:rsidR="00CE0A87" w:rsidRPr="00912EAF">
        <w:rPr>
          <w:lang w:val="en-GB"/>
        </w:rPr>
        <w:t>&amp;</w:t>
      </w:r>
      <w:r w:rsidR="00CE0A87" w:rsidRPr="00565818">
        <w:rPr>
          <w:lang w:val="en-GB"/>
        </w:rPr>
        <w:t xml:space="preserve"> </w:t>
      </w:r>
      <w:proofErr w:type="spellStart"/>
      <w:r w:rsidRPr="00565818">
        <w:rPr>
          <w:lang w:val="en-GB"/>
        </w:rPr>
        <w:t>Koopman</w:t>
      </w:r>
      <w:proofErr w:type="spellEnd"/>
      <w:r w:rsidRPr="00565818">
        <w:rPr>
          <w:lang w:val="en-GB"/>
        </w:rPr>
        <w:t xml:space="preserve">, 2005). Estimates using the whole world as the sixth group were used for comparison. </w:t>
      </w:r>
    </w:p>
    <w:p w14:paraId="3542C2F4" w14:textId="77777777" w:rsidR="001C0604" w:rsidRDefault="001C0604" w:rsidP="001C0604">
      <w:pPr>
        <w:ind w:firstLine="284"/>
        <w:jc w:val="both"/>
        <w:rPr>
          <w:lang w:val="en-GB"/>
        </w:rPr>
      </w:pPr>
    </w:p>
    <w:p w14:paraId="4C8008C9" w14:textId="034A7CA1" w:rsidR="001C0604" w:rsidRDefault="00725DFE" w:rsidP="001C0604">
      <w:pPr>
        <w:pStyle w:val="2nddegreeheading"/>
        <w:spacing w:before="0" w:after="0"/>
        <w:rPr>
          <w:lang w:val="en-GB"/>
        </w:rPr>
      </w:pPr>
      <w:r>
        <w:rPr>
          <w:lang w:val="en-GB"/>
        </w:rPr>
        <w:t>Fitting a probability distribution</w:t>
      </w:r>
    </w:p>
    <w:p w14:paraId="5B9BED60" w14:textId="77777777" w:rsidR="001C0604" w:rsidRPr="001C0604" w:rsidRDefault="001C0604" w:rsidP="001C0604">
      <w:pPr>
        <w:pStyle w:val="SVEPMParagraphFormat"/>
        <w:spacing w:after="0"/>
        <w:rPr>
          <w:lang w:val="en-GB"/>
        </w:rPr>
      </w:pPr>
    </w:p>
    <w:p w14:paraId="4AC12873" w14:textId="580829E8" w:rsidR="00565818" w:rsidRPr="00565818" w:rsidRDefault="004A65C4" w:rsidP="001C0604">
      <w:pPr>
        <w:ind w:firstLine="284"/>
        <w:jc w:val="both"/>
        <w:rPr>
          <w:lang w:val="en-GB"/>
        </w:rPr>
      </w:pPr>
      <w:r w:rsidRPr="004A65C4">
        <w:rPr>
          <w:lang w:val="en-GB"/>
        </w:rPr>
        <w:t xml:space="preserve">For each grouping method, a similar calculation was performed: for each subgroup, </w:t>
      </w:r>
      <w:r w:rsidRPr="004A65C4">
        <w:rPr>
          <w:i/>
          <w:lang w:val="en-GB"/>
        </w:rPr>
        <w:t xml:space="preserve">g, </w:t>
      </w:r>
      <w:r w:rsidRPr="004A65C4">
        <w:rPr>
          <w:lang w:val="en-GB"/>
        </w:rPr>
        <w:t xml:space="preserve">all non-zero entries of the establishment prevalence, </w:t>
      </w:r>
      <w:proofErr w:type="gramStart"/>
      <w:r w:rsidRPr="004A65C4">
        <w:rPr>
          <w:i/>
          <w:lang w:val="en-GB"/>
        </w:rPr>
        <w:t>P</w:t>
      </w:r>
      <w:r w:rsidRPr="004A65C4">
        <w:rPr>
          <w:i/>
          <w:vertAlign w:val="subscript"/>
          <w:lang w:val="en-GB"/>
        </w:rPr>
        <w:t>est</w:t>
      </w:r>
      <w:r w:rsidRPr="004A65C4">
        <w:rPr>
          <w:i/>
          <w:lang w:val="en-GB"/>
        </w:rPr>
        <w:t>(</w:t>
      </w:r>
      <w:proofErr w:type="spellStart"/>
      <w:proofErr w:type="gramEnd"/>
      <w:r w:rsidRPr="004A65C4">
        <w:rPr>
          <w:i/>
          <w:lang w:val="en-GB"/>
        </w:rPr>
        <w:t>k,s,y</w:t>
      </w:r>
      <w:proofErr w:type="spellEnd"/>
      <w:r w:rsidRPr="004A65C4">
        <w:rPr>
          <w:i/>
          <w:lang w:val="en-GB"/>
        </w:rPr>
        <w:t>)</w:t>
      </w:r>
      <w:r w:rsidRPr="004A65C4">
        <w:rPr>
          <w:lang w:val="en-GB"/>
        </w:rPr>
        <w:t xml:space="preserve">, relating to MCs, </w:t>
      </w:r>
      <w:r w:rsidRPr="004A65C4">
        <w:rPr>
          <w:i/>
          <w:lang w:val="en-GB"/>
        </w:rPr>
        <w:t>k</w:t>
      </w:r>
      <w:r w:rsidRPr="004A65C4">
        <w:rPr>
          <w:lang w:val="en-GB"/>
        </w:rPr>
        <w:t xml:space="preserve">, in the subgroup </w:t>
      </w:r>
      <w:r w:rsidRPr="004A65C4">
        <w:rPr>
          <w:i/>
          <w:lang w:val="en-GB"/>
        </w:rPr>
        <w:t>g</w:t>
      </w:r>
      <w:r w:rsidRPr="004A65C4">
        <w:rPr>
          <w:lang w:val="en-GB"/>
        </w:rPr>
        <w:t xml:space="preserve"> were extracted. It was decided to fit a gamma distribution to these data as the shape of the distribution is very flexible depending on the choice of parameters, so it was considered likely to provide a reasonable fit for a large number of datasets, and it is restricted to positive values, as is the case with the data. The gamma distribution was fit using the </w:t>
      </w:r>
      <w:proofErr w:type="spellStart"/>
      <w:r w:rsidRPr="004A65C4">
        <w:rPr>
          <w:i/>
          <w:lang w:val="en-GB"/>
        </w:rPr>
        <w:t>fitdistr</w:t>
      </w:r>
      <w:proofErr w:type="spellEnd"/>
      <w:r w:rsidR="00B879B1">
        <w:rPr>
          <w:rStyle w:val="FootnoteReference"/>
          <w:i/>
          <w:caps/>
          <w:lang w:val="en-GB"/>
        </w:rPr>
        <w:footnoteReference w:id="2"/>
      </w:r>
      <w:r w:rsidRPr="004A65C4">
        <w:rPr>
          <w:lang w:val="en-GB"/>
        </w:rPr>
        <w:t xml:space="preserve"> function in R, which uses maximum likelihood methods to determine the best fitting values for the gamma distribution (Eq. </w:t>
      </w:r>
      <w:r w:rsidR="001C0604">
        <w:rPr>
          <w:lang w:val="en-GB"/>
        </w:rPr>
        <w:t>2</w:t>
      </w:r>
      <w:r w:rsidRPr="004A65C4">
        <w:rPr>
          <w:lang w:val="en-GB"/>
        </w:rPr>
        <w:t>)</w:t>
      </w:r>
      <w:r w:rsidR="001C0604">
        <w:rPr>
          <w:lang w:val="en-GB"/>
        </w:rPr>
        <w:t>;</w:t>
      </w:r>
    </w:p>
    <w:p w14:paraId="6F39A196" w14:textId="4C3C867E" w:rsidR="00565818" w:rsidRPr="00565818" w:rsidRDefault="00565818" w:rsidP="00D82F64">
      <w:pPr>
        <w:pStyle w:val="Equation"/>
        <w:spacing w:before="240" w:after="0"/>
        <w:rPr>
          <w:lang w:val="en-GB"/>
        </w:rPr>
      </w:pPr>
      <w:r w:rsidRPr="00565818">
        <w:rPr>
          <w:lang w:val="en-GB"/>
        </w:rPr>
        <w:tab/>
      </w:r>
      <m:oMath>
        <m:sSub>
          <m:sSubPr>
            <m:ctrlPr>
              <w:rPr>
                <w:rFonts w:ascii="Cambria Math" w:hAnsi="Cambria Math"/>
                <w:i/>
              </w:rPr>
            </m:ctrlPr>
          </m:sSubPr>
          <m:e>
            <m:r>
              <w:rPr>
                <w:rFonts w:ascii="Cambria Math" w:hAnsi="Cambria Math"/>
              </w:rPr>
              <m:t>P</m:t>
            </m:r>
          </m:e>
          <m:sub>
            <m:r>
              <w:rPr>
                <w:rFonts w:ascii="Cambria Math" w:hAnsi="Cambria Math"/>
              </w:rPr>
              <m:t>fit</m:t>
            </m:r>
          </m:sub>
        </m:sSub>
        <m:d>
          <m:dPr>
            <m:ctrlPr>
              <w:rPr>
                <w:rFonts w:ascii="Cambria Math" w:hAnsi="Cambria Math"/>
                <w:i/>
              </w:rPr>
            </m:ctrlPr>
          </m:dPr>
          <m:e>
            <m:r>
              <w:rPr>
                <w:rFonts w:ascii="Cambria Math" w:hAnsi="Cambria Math"/>
              </w:rPr>
              <m:t>g</m:t>
            </m:r>
            <m:r>
              <w:rPr>
                <w:rFonts w:ascii="Cambria Math" w:hAnsi="Cambria Math"/>
                <w:lang w:val="en-GB"/>
              </w:rPr>
              <m:t>,</m:t>
            </m:r>
            <m:r>
              <w:rPr>
                <w:rFonts w:ascii="Cambria Math" w:hAnsi="Cambria Math"/>
              </w:rPr>
              <m:t>s</m:t>
            </m:r>
          </m:e>
        </m:d>
        <m:r>
          <w:rPr>
            <w:rFonts w:ascii="Cambria Math" w:hAnsi="Cambria Math"/>
            <w:lang w:val="en-GB"/>
          </w:rPr>
          <m:t>=</m:t>
        </m:r>
        <m:r>
          <w:rPr>
            <w:rFonts w:ascii="Cambria Math" w:hAnsi="Cambria Math"/>
          </w:rPr>
          <m:t>fitdistr</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est</m:t>
                </m:r>
              </m:sub>
            </m:sSub>
            <m:d>
              <m:dPr>
                <m:ctrlPr>
                  <w:rPr>
                    <w:rFonts w:ascii="Cambria Math" w:hAnsi="Cambria Math"/>
                    <w:i/>
                  </w:rPr>
                </m:ctrlPr>
              </m:dPr>
              <m:e>
                <m:r>
                  <w:rPr>
                    <w:rFonts w:ascii="Cambria Math" w:hAnsi="Cambria Math"/>
                  </w:rPr>
                  <m:t>k</m:t>
                </m:r>
                <m:r>
                  <w:rPr>
                    <w:rFonts w:ascii="Cambria Math" w:hAnsi="Cambria Math"/>
                    <w:lang w:val="en-GB"/>
                  </w:rPr>
                  <m:t>,</m:t>
                </m:r>
                <m:r>
                  <w:rPr>
                    <w:rFonts w:ascii="Cambria Math" w:hAnsi="Cambria Math"/>
                  </w:rPr>
                  <m:t>s</m:t>
                </m:r>
                <m:r>
                  <w:rPr>
                    <w:rFonts w:ascii="Cambria Math" w:hAnsi="Cambria Math"/>
                    <w:lang w:val="en-GB"/>
                  </w:rPr>
                  <m:t>,</m:t>
                </m:r>
                <m:r>
                  <w:rPr>
                    <w:rFonts w:ascii="Cambria Math" w:hAnsi="Cambria Math"/>
                  </w:rPr>
                  <m:t>y</m:t>
                </m:r>
              </m:e>
            </m:d>
            <m:r>
              <w:rPr>
                <w:rFonts w:ascii="Cambria Math" w:hAnsi="Cambria Math"/>
                <w:lang w:val="en-GB"/>
              </w:rPr>
              <m:t>&gt;0</m:t>
            </m:r>
            <m:sSup>
              <m:sSupPr>
                <m:ctrlPr>
                  <w:rPr>
                    <w:rFonts w:ascii="Cambria Math" w:hAnsi="Cambria Math"/>
                    <w:i/>
                  </w:rPr>
                </m:ctrlPr>
              </m:sSupPr>
              <m:e>
                <m:r>
                  <w:rPr>
                    <w:rFonts w:ascii="Cambria Math" w:hAnsi="Cambria Math"/>
                    <w:lang w:val="en-GB"/>
                  </w:rPr>
                  <m:t>,</m:t>
                </m:r>
              </m:e>
              <m:sup>
                <m:r>
                  <w:rPr>
                    <w:rFonts w:ascii="Cambria Math" w:hAnsi="Cambria Math"/>
                    <w:lang w:val="en-GB"/>
                  </w:rPr>
                  <m:t>'</m:t>
                </m:r>
              </m:sup>
            </m:sSup>
            <m:r>
              <w:rPr>
                <w:rFonts w:ascii="Cambria Math" w:hAnsi="Cambria Math"/>
              </w:rPr>
              <m:t>gamm</m:t>
            </m:r>
            <m:sSup>
              <m:sSupPr>
                <m:ctrlPr>
                  <w:rPr>
                    <w:rFonts w:ascii="Cambria Math" w:hAnsi="Cambria Math"/>
                    <w:i/>
                  </w:rPr>
                </m:ctrlPr>
              </m:sSupPr>
              <m:e>
                <m:r>
                  <w:rPr>
                    <w:rFonts w:ascii="Cambria Math" w:hAnsi="Cambria Math"/>
                  </w:rPr>
                  <m:t>a</m:t>
                </m:r>
              </m:e>
              <m:sup>
                <m:r>
                  <w:rPr>
                    <w:rFonts w:ascii="Cambria Math" w:hAnsi="Cambria Math"/>
                    <w:lang w:val="en-GB"/>
                  </w:rPr>
                  <m:t>'</m:t>
                </m:r>
              </m:sup>
            </m:sSup>
          </m:e>
        </m:d>
        <m:r>
          <w:rPr>
            <w:rFonts w:ascii="Cambria Math" w:hAnsi="Cambria Math"/>
            <w:lang w:val="en-GB"/>
          </w:rPr>
          <m:t xml:space="preserve">, </m:t>
        </m:r>
        <m:r>
          <w:rPr>
            <w:rFonts w:ascii="Cambria Math" w:hAnsi="Cambria Math"/>
          </w:rPr>
          <m:t>w</m:t>
        </m:r>
        <m:r>
          <w:rPr>
            <w:rFonts w:ascii="Cambria Math" w:hAnsi="Cambria Math"/>
            <w:lang w:val="en-GB"/>
          </w:rPr>
          <m:t>h</m:t>
        </m:r>
        <m:r>
          <w:rPr>
            <w:rFonts w:ascii="Cambria Math" w:hAnsi="Cambria Math"/>
          </w:rPr>
          <m:t>ere</m:t>
        </m:r>
        <m:r>
          <w:rPr>
            <w:rFonts w:ascii="Cambria Math" w:hAnsi="Cambria Math"/>
            <w:lang w:val="en-GB"/>
          </w:rPr>
          <m:t xml:space="preserve"> </m:t>
        </m:r>
        <m:r>
          <w:rPr>
            <w:rFonts w:ascii="Cambria Math" w:hAnsi="Cambria Math"/>
          </w:rPr>
          <m:t>k</m:t>
        </m:r>
        <m:r>
          <w:rPr>
            <w:rFonts w:ascii="Cambria Math" w:hAnsi="Cambria Math"/>
            <w:lang w:val="en-GB"/>
          </w:rPr>
          <m:t>∈</m:t>
        </m:r>
        <m:r>
          <w:rPr>
            <w:rFonts w:ascii="Cambria Math" w:hAnsi="Cambria Math"/>
          </w:rPr>
          <m:t>g</m:t>
        </m:r>
      </m:oMath>
      <w:r w:rsidR="00722A89">
        <w:t>.</w:t>
      </w:r>
      <w:r w:rsidRPr="00565818">
        <w:rPr>
          <w:lang w:val="en-GB"/>
        </w:rPr>
        <w:tab/>
        <w:t>(</w:t>
      </w:r>
      <w:r w:rsidR="001C0604">
        <w:rPr>
          <w:lang w:val="en-GB"/>
        </w:rPr>
        <w:t>2</w:t>
      </w:r>
      <w:r w:rsidRPr="00565818">
        <w:rPr>
          <w:lang w:val="en-GB"/>
        </w:rPr>
        <w:t>)</w:t>
      </w:r>
    </w:p>
    <w:p w14:paraId="10F8E138" w14:textId="77777777" w:rsidR="00565818" w:rsidRPr="008C5B8B" w:rsidRDefault="00565818" w:rsidP="00D82F64">
      <w:pPr>
        <w:pStyle w:val="2nddegreeheading"/>
        <w:spacing w:after="0"/>
        <w:rPr>
          <w:lang w:val="en-GB"/>
        </w:rPr>
      </w:pPr>
      <w:r w:rsidRPr="008C5B8B">
        <w:rPr>
          <w:lang w:val="en-GB"/>
        </w:rPr>
        <w:t>Predictive accuracy</w:t>
      </w:r>
    </w:p>
    <w:p w14:paraId="36E4E036" w14:textId="4900681D" w:rsidR="008C5B8B" w:rsidRPr="00AC68BF" w:rsidRDefault="008C5B8B" w:rsidP="00D82F64">
      <w:pPr>
        <w:spacing w:before="240"/>
        <w:ind w:firstLine="284"/>
        <w:jc w:val="both"/>
        <w:rPr>
          <w:lang w:val="en-GB"/>
        </w:rPr>
      </w:pPr>
      <w:r w:rsidRPr="008C5B8B">
        <w:rPr>
          <w:lang w:val="en-GB"/>
        </w:rPr>
        <w:t>For all countries which had OIE reported outbreaks of rabies in the species considered in this analysis, the accuracy of the model predictions was evaluated by two methods.  The first method was a comparison of the overall fit using a Kolmogorov-Smirnov (KS) test in R</w:t>
      </w:r>
      <w:r w:rsidR="00722A89">
        <w:rPr>
          <w:rStyle w:val="FootnoteReference"/>
          <w:lang w:val="en-GB"/>
        </w:rPr>
        <w:footnoteReference w:id="3"/>
      </w:r>
      <w:r w:rsidRPr="008C5B8B">
        <w:rPr>
          <w:lang w:val="en-GB"/>
        </w:rPr>
        <w:t xml:space="preserve"> to compare the raw data of rabies outbreaks over all years for country </w:t>
      </w:r>
      <w:r w:rsidRPr="008C5B8B">
        <w:rPr>
          <w:i/>
          <w:lang w:val="en-GB"/>
        </w:rPr>
        <w:t xml:space="preserve">k </w:t>
      </w:r>
      <w:r w:rsidRPr="008C5B8B">
        <w:rPr>
          <w:lang w:val="en-GB"/>
        </w:rPr>
        <w:t>and</w:t>
      </w:r>
      <w:r w:rsidRPr="008C5B8B">
        <w:rPr>
          <w:i/>
          <w:lang w:val="en-GB"/>
        </w:rPr>
        <w:t xml:space="preserve"> </w:t>
      </w:r>
      <w:r w:rsidRPr="008C5B8B">
        <w:rPr>
          <w:lang w:val="en-GB"/>
        </w:rPr>
        <w:t xml:space="preserve">species </w:t>
      </w:r>
      <w:r w:rsidRPr="008C5B8B">
        <w:rPr>
          <w:i/>
          <w:lang w:val="en-GB"/>
        </w:rPr>
        <w:t>s</w:t>
      </w:r>
      <w:r w:rsidRPr="008C5B8B">
        <w:rPr>
          <w:lang w:val="en-GB"/>
        </w:rPr>
        <w:t xml:space="preserve">, against the fitted distribution from the group, </w:t>
      </w:r>
      <w:r w:rsidRPr="008C5B8B">
        <w:rPr>
          <w:i/>
          <w:lang w:val="en-GB"/>
        </w:rPr>
        <w:t>K</w:t>
      </w:r>
      <w:r w:rsidRPr="008C5B8B">
        <w:rPr>
          <w:i/>
          <w:vertAlign w:val="subscript"/>
          <w:lang w:val="en-GB"/>
        </w:rPr>
        <w:t>s</w:t>
      </w:r>
      <w:r w:rsidRPr="008C5B8B">
        <w:rPr>
          <w:i/>
          <w:lang w:val="en-GB"/>
        </w:rPr>
        <w:t>(</w:t>
      </w:r>
      <w:proofErr w:type="spellStart"/>
      <w:r w:rsidRPr="008C5B8B">
        <w:rPr>
          <w:i/>
          <w:lang w:val="en-GB"/>
        </w:rPr>
        <w:t>k,s</w:t>
      </w:r>
      <w:proofErr w:type="spellEnd"/>
      <w:r w:rsidRPr="008C5B8B">
        <w:rPr>
          <w:i/>
          <w:lang w:val="en-GB"/>
        </w:rPr>
        <w:t>)</w:t>
      </w:r>
      <w:r w:rsidR="00AC68BF">
        <w:rPr>
          <w:i/>
          <w:lang w:val="en-GB"/>
        </w:rPr>
        <w:t xml:space="preserve"> </w:t>
      </w:r>
      <w:r w:rsidR="00AC68BF">
        <w:rPr>
          <w:lang w:val="en-GB"/>
        </w:rPr>
        <w:t xml:space="preserve">(Eq. </w:t>
      </w:r>
      <w:r w:rsidR="001C0604">
        <w:rPr>
          <w:lang w:val="en-GB"/>
        </w:rPr>
        <w:t>3</w:t>
      </w:r>
      <w:r w:rsidR="00AC68BF">
        <w:rPr>
          <w:lang w:val="en-GB"/>
        </w:rPr>
        <w:t>)</w:t>
      </w:r>
      <w:r w:rsidR="001C0604">
        <w:rPr>
          <w:lang w:val="en-GB"/>
        </w:rPr>
        <w:t>;</w:t>
      </w:r>
    </w:p>
    <w:p w14:paraId="057A3A4F" w14:textId="34C31C55" w:rsidR="008C5B8B" w:rsidRPr="008C5B8B" w:rsidRDefault="0004342F" w:rsidP="00D82F64">
      <w:pPr>
        <w:pStyle w:val="SVEPMParagraphFormat"/>
        <w:spacing w:before="240" w:after="0"/>
        <w:jc w:val="center"/>
        <w:rPr>
          <w:lang w:val="en-GB"/>
        </w:rPr>
      </w:pPr>
      <m:oMath>
        <m:sSub>
          <m:sSubPr>
            <m:ctrlPr>
              <w:rPr>
                <w:rFonts w:ascii="Cambria Math" w:hAnsi="Cambria Math"/>
                <w:i/>
                <w:caps/>
              </w:rPr>
            </m:ctrlPr>
          </m:sSubPr>
          <m:e>
            <m:r>
              <w:rPr>
                <w:rFonts w:ascii="Cambria Math" w:hAnsi="Cambria Math"/>
              </w:rPr>
              <m:t>K</m:t>
            </m:r>
          </m:e>
          <m:sub>
            <m:r>
              <w:rPr>
                <w:rFonts w:ascii="Cambria Math" w:hAnsi="Cambria Math"/>
              </w:rPr>
              <m:t>s</m:t>
            </m:r>
          </m:sub>
        </m:sSub>
        <m:d>
          <m:dPr>
            <m:ctrlPr>
              <w:rPr>
                <w:rFonts w:ascii="Cambria Math" w:hAnsi="Cambria Math"/>
                <w:i/>
              </w:rPr>
            </m:ctrlPr>
          </m:dPr>
          <m:e>
            <m:r>
              <w:rPr>
                <w:rFonts w:ascii="Cambria Math" w:hAnsi="Cambria Math"/>
              </w:rPr>
              <m:t>k</m:t>
            </m:r>
            <m:r>
              <w:rPr>
                <w:rFonts w:ascii="Cambria Math" w:hAnsi="Cambria Math"/>
                <w:lang w:val="en-GB"/>
              </w:rPr>
              <m:t>,</m:t>
            </m:r>
            <m:r>
              <w:rPr>
                <w:rFonts w:ascii="Cambria Math" w:hAnsi="Cambria Math"/>
              </w:rPr>
              <m:t>s</m:t>
            </m:r>
          </m:e>
        </m:d>
        <m:r>
          <w:rPr>
            <w:rFonts w:ascii="Cambria Math" w:hAnsi="Cambria Math"/>
            <w:lang w:val="en-GB"/>
          </w:rPr>
          <m:t>=</m:t>
        </m:r>
        <m:r>
          <w:rPr>
            <w:rFonts w:ascii="Cambria Math" w:hAnsi="Cambria Math"/>
          </w:rPr>
          <m:t>ks</m:t>
        </m:r>
        <m:r>
          <w:rPr>
            <w:rFonts w:ascii="Cambria Math" w:hAnsi="Cambria Math"/>
            <w:lang w:val="en-GB"/>
          </w:rPr>
          <m:t>.</m:t>
        </m:r>
        <m:r>
          <w:rPr>
            <w:rFonts w:ascii="Cambria Math" w:hAnsi="Cambria Math"/>
          </w:rPr>
          <m:t>test</m:t>
        </m:r>
        <m:d>
          <m:dPr>
            <m:ctrlPr>
              <w:rPr>
                <w:rFonts w:ascii="Cambria Math" w:hAnsi="Cambria Math"/>
                <w:i/>
              </w:rPr>
            </m:ctrlPr>
          </m:dPr>
          <m:e>
            <m:sSub>
              <m:sSubPr>
                <m:ctrlPr>
                  <w:rPr>
                    <w:rFonts w:ascii="Cambria Math" w:hAnsi="Cambria Math"/>
                    <w:i/>
                    <w:caps/>
                  </w:rPr>
                </m:ctrlPr>
              </m:sSubPr>
              <m:e>
                <m:r>
                  <w:rPr>
                    <w:rFonts w:ascii="Cambria Math" w:hAnsi="Cambria Math"/>
                  </w:rPr>
                  <m:t>P</m:t>
                </m:r>
              </m:e>
              <m:sub>
                <m:r>
                  <w:rPr>
                    <w:rFonts w:ascii="Cambria Math" w:hAnsi="Cambria Math"/>
                  </w:rPr>
                  <m:t>est</m:t>
                </m:r>
              </m:sub>
            </m:sSub>
            <m:d>
              <m:dPr>
                <m:ctrlPr>
                  <w:rPr>
                    <w:rFonts w:ascii="Cambria Math" w:hAnsi="Cambria Math"/>
                    <w:i/>
                  </w:rPr>
                </m:ctrlPr>
              </m:dPr>
              <m:e>
                <m:r>
                  <w:rPr>
                    <w:rFonts w:ascii="Cambria Math" w:hAnsi="Cambria Math"/>
                  </w:rPr>
                  <m:t>k</m:t>
                </m:r>
                <m:r>
                  <w:rPr>
                    <w:rFonts w:ascii="Cambria Math" w:hAnsi="Cambria Math"/>
                    <w:lang w:val="en-GB"/>
                  </w:rPr>
                  <m:t>,</m:t>
                </m:r>
                <m:r>
                  <w:rPr>
                    <w:rFonts w:ascii="Cambria Math" w:hAnsi="Cambria Math"/>
                  </w:rPr>
                  <m:t>s</m:t>
                </m:r>
                <m:r>
                  <w:rPr>
                    <w:rFonts w:ascii="Cambria Math" w:hAnsi="Cambria Math"/>
                    <w:lang w:val="en-GB"/>
                  </w:rPr>
                  <m:t>,</m:t>
                </m:r>
                <m:r>
                  <w:rPr>
                    <w:rFonts w:ascii="Cambria Math" w:hAnsi="Cambria Math"/>
                  </w:rPr>
                  <m:t>y</m:t>
                </m:r>
              </m:e>
            </m:d>
            <m:r>
              <w:rPr>
                <w:rFonts w:ascii="Cambria Math" w:hAnsi="Cambria Math"/>
                <w:lang w:val="en-GB"/>
              </w:rPr>
              <m:t>&gt;0</m:t>
            </m:r>
            <m:sSup>
              <m:sSupPr>
                <m:ctrlPr>
                  <w:rPr>
                    <w:rFonts w:ascii="Cambria Math" w:hAnsi="Cambria Math"/>
                    <w:i/>
                  </w:rPr>
                </m:ctrlPr>
              </m:sSupPr>
              <m:e>
                <m:r>
                  <w:rPr>
                    <w:rFonts w:ascii="Cambria Math" w:hAnsi="Cambria Math"/>
                    <w:lang w:val="en-GB"/>
                  </w:rPr>
                  <m:t>,</m:t>
                </m:r>
              </m:e>
              <m:sup>
                <m:r>
                  <w:rPr>
                    <w:rFonts w:ascii="Cambria Math" w:hAnsi="Cambria Math"/>
                    <w:lang w:val="en-GB"/>
                  </w:rPr>
                  <m:t>'</m:t>
                </m:r>
              </m:sup>
            </m:sSup>
            <m:r>
              <w:rPr>
                <w:rFonts w:ascii="Cambria Math" w:hAnsi="Cambria Math"/>
              </w:rPr>
              <m:t>pgamm</m:t>
            </m:r>
            <m:sSup>
              <m:sSupPr>
                <m:ctrlPr>
                  <w:rPr>
                    <w:rFonts w:ascii="Cambria Math" w:hAnsi="Cambria Math"/>
                    <w:i/>
                  </w:rPr>
                </m:ctrlPr>
              </m:sSupPr>
              <m:e>
                <m:r>
                  <w:rPr>
                    <w:rFonts w:ascii="Cambria Math" w:hAnsi="Cambria Math"/>
                  </w:rPr>
                  <m:t>a</m:t>
                </m:r>
              </m:e>
              <m:sup>
                <m:r>
                  <w:rPr>
                    <w:rFonts w:ascii="Cambria Math" w:hAnsi="Cambria Math"/>
                    <w:lang w:val="en-GB"/>
                  </w:rPr>
                  <m:t>'</m:t>
                </m:r>
              </m:sup>
            </m:sSup>
            <m:r>
              <w:rPr>
                <w:rFonts w:ascii="Cambria Math" w:hAnsi="Cambria Math"/>
                <w:lang w:val="en-GB"/>
              </w:rPr>
              <m:t>,</m:t>
            </m:r>
            <m:sSub>
              <m:sSubPr>
                <m:ctrlPr>
                  <w:rPr>
                    <w:rFonts w:ascii="Cambria Math" w:hAnsi="Cambria Math"/>
                    <w:i/>
                  </w:rPr>
                </m:ctrlPr>
              </m:sSubPr>
              <m:e>
                <m:r>
                  <w:rPr>
                    <w:rFonts w:ascii="Cambria Math" w:hAnsi="Cambria Math"/>
                  </w:rPr>
                  <m:t>P</m:t>
                </m:r>
              </m:e>
              <m:sub>
                <m:r>
                  <w:rPr>
                    <w:rFonts w:ascii="Cambria Math" w:hAnsi="Cambria Math"/>
                  </w:rPr>
                  <m:t>fit</m:t>
                </m:r>
              </m:sub>
            </m:sSub>
            <m:r>
              <w:rPr>
                <w:rFonts w:ascii="Cambria Math" w:hAnsi="Cambria Math"/>
                <w:lang w:val="en-GB"/>
              </w:rPr>
              <m:t>(</m:t>
            </m:r>
            <m:r>
              <w:rPr>
                <w:rFonts w:ascii="Cambria Math" w:hAnsi="Cambria Math"/>
              </w:rPr>
              <m:t>g</m:t>
            </m:r>
            <m:r>
              <w:rPr>
                <w:rFonts w:ascii="Cambria Math" w:hAnsi="Cambria Math"/>
                <w:lang w:val="en-GB"/>
              </w:rPr>
              <m:t>,</m:t>
            </m:r>
            <m:r>
              <w:rPr>
                <w:rFonts w:ascii="Cambria Math" w:hAnsi="Cambria Math"/>
              </w:rPr>
              <m:t>s</m:t>
            </m:r>
            <m:r>
              <w:rPr>
                <w:rFonts w:ascii="Cambria Math" w:hAnsi="Cambria Math"/>
                <w:lang w:val="en-GB"/>
              </w:rPr>
              <m:t>)</m:t>
            </m:r>
          </m:e>
        </m:d>
        <m:r>
          <w:rPr>
            <w:rFonts w:ascii="Cambria Math" w:hAnsi="Cambria Math"/>
            <w:lang w:val="en-GB"/>
          </w:rPr>
          <m:t xml:space="preserve">, </m:t>
        </m:r>
        <m:r>
          <w:rPr>
            <w:rFonts w:ascii="Cambria Math" w:hAnsi="Cambria Math"/>
          </w:rPr>
          <m:t>w</m:t>
        </m:r>
        <m:r>
          <w:rPr>
            <w:rFonts w:ascii="Cambria Math" w:hAnsi="Cambria Math"/>
            <w:lang w:val="en-GB"/>
          </w:rPr>
          <m:t>h</m:t>
        </m:r>
        <m:r>
          <w:rPr>
            <w:rFonts w:ascii="Cambria Math" w:hAnsi="Cambria Math"/>
          </w:rPr>
          <m:t>ere</m:t>
        </m:r>
        <m:r>
          <w:rPr>
            <w:rFonts w:ascii="Cambria Math" w:hAnsi="Cambria Math"/>
            <w:lang w:val="en-GB"/>
          </w:rPr>
          <m:t xml:space="preserve"> </m:t>
        </m:r>
        <m:r>
          <w:rPr>
            <w:rFonts w:ascii="Cambria Math" w:hAnsi="Cambria Math"/>
          </w:rPr>
          <m:t>k</m:t>
        </m:r>
        <m:r>
          <w:rPr>
            <w:rFonts w:ascii="Cambria Math" w:hAnsi="Cambria Math"/>
            <w:lang w:val="en-GB"/>
          </w:rPr>
          <m:t>∈</m:t>
        </m:r>
        <m:r>
          <w:rPr>
            <w:rFonts w:ascii="Cambria Math" w:hAnsi="Cambria Math"/>
          </w:rPr>
          <m:t>g</m:t>
        </m:r>
      </m:oMath>
      <w:r w:rsidR="00722A89">
        <w:t>.</w:t>
      </w:r>
      <w:r w:rsidR="008C5B8B" w:rsidRPr="008C5B8B">
        <w:rPr>
          <w:lang w:val="en-GB"/>
        </w:rPr>
        <w:tab/>
      </w:r>
      <w:r w:rsidR="008C5B8B">
        <w:rPr>
          <w:lang w:val="en-GB"/>
        </w:rPr>
        <w:t xml:space="preserve">            </w:t>
      </w:r>
      <w:r w:rsidR="008C5B8B" w:rsidRPr="008C5B8B">
        <w:rPr>
          <w:lang w:val="en-GB"/>
        </w:rPr>
        <w:t>(</w:t>
      </w:r>
      <w:r w:rsidR="001C0604">
        <w:rPr>
          <w:lang w:val="en-GB"/>
        </w:rPr>
        <w:t>3</w:t>
      </w:r>
      <w:r w:rsidR="008C5B8B" w:rsidRPr="008C5B8B">
        <w:rPr>
          <w:lang w:val="en-GB"/>
        </w:rPr>
        <w:t>)</w:t>
      </w:r>
    </w:p>
    <w:p w14:paraId="6195232C" w14:textId="3C22AF9D" w:rsidR="00912EAF" w:rsidRDefault="008C5B8B" w:rsidP="00D82F64">
      <w:pPr>
        <w:spacing w:before="240"/>
        <w:ind w:firstLine="284"/>
        <w:jc w:val="both"/>
        <w:rPr>
          <w:lang w:val="en-GB"/>
        </w:rPr>
      </w:pPr>
      <w:r w:rsidRPr="008C5B8B">
        <w:rPr>
          <w:lang w:val="en-GB"/>
        </w:rPr>
        <w:t>A statistically significant result for the KS test implied confidence that the two sets of data (raw and fitted) came from the same underlying distribution and thus the fitted distribution could be considered a reasonable estimate for the observed data. The different grouping scenarios were compared by evaluating the proportion of MCs</w:t>
      </w:r>
      <w:r w:rsidR="000532EB">
        <w:rPr>
          <w:lang w:val="en-GB"/>
        </w:rPr>
        <w:t xml:space="preserve"> where this was not the case at the 1% level, i.e.</w:t>
      </w:r>
      <w:r w:rsidR="000D41FA">
        <w:rPr>
          <w:lang w:val="en-GB"/>
        </w:rPr>
        <w:t xml:space="preserve"> </w:t>
      </w:r>
      <w:r w:rsidR="000532EB">
        <w:rPr>
          <w:lang w:val="en-GB"/>
        </w:rPr>
        <w:t xml:space="preserve">had a </w:t>
      </w:r>
      <w:r w:rsidR="000D41FA" w:rsidRPr="008C5B8B">
        <w:rPr>
          <w:lang w:val="en-GB"/>
        </w:rPr>
        <w:t xml:space="preserve">KS test </w:t>
      </w:r>
      <w:r w:rsidR="000D41FA" w:rsidRPr="00D82F64">
        <w:rPr>
          <w:i/>
          <w:lang w:val="en-GB"/>
        </w:rPr>
        <w:t>p</w:t>
      </w:r>
      <w:r w:rsidR="000D41FA" w:rsidRPr="008C5B8B">
        <w:rPr>
          <w:lang w:val="en-GB"/>
        </w:rPr>
        <w:t xml:space="preserve"> value &gt; 0.01</w:t>
      </w:r>
      <w:r w:rsidR="001C0604">
        <w:rPr>
          <w:lang w:val="en-GB"/>
        </w:rPr>
        <w:t>.</w:t>
      </w:r>
      <w:r w:rsidRPr="008C5B8B">
        <w:rPr>
          <w:lang w:val="en-GB"/>
        </w:rPr>
        <w:t xml:space="preserve"> </w:t>
      </w:r>
    </w:p>
    <w:p w14:paraId="63E964D1" w14:textId="5AA2084F" w:rsidR="00761E33" w:rsidRDefault="008C5B8B" w:rsidP="0051616E">
      <w:pPr>
        <w:spacing w:before="240"/>
        <w:ind w:firstLine="284"/>
        <w:jc w:val="both"/>
        <w:rPr>
          <w:lang w:val="en-GB"/>
        </w:rPr>
      </w:pPr>
      <w:r w:rsidRPr="008C5B8B">
        <w:rPr>
          <w:lang w:val="en-GB"/>
        </w:rPr>
        <w:t xml:space="preserve">The second method assessed the grouping fit </w:t>
      </w:r>
      <w:r w:rsidR="0004631D" w:rsidRPr="008C5B8B">
        <w:rPr>
          <w:lang w:val="en-GB"/>
        </w:rPr>
        <w:t>on a country level</w:t>
      </w:r>
      <w:r w:rsidRPr="008C5B8B">
        <w:rPr>
          <w:lang w:val="en-GB"/>
        </w:rPr>
        <w:t>, by</w:t>
      </w:r>
      <w:r w:rsidR="00201630">
        <w:rPr>
          <w:lang w:val="en-GB"/>
        </w:rPr>
        <w:t xml:space="preserve"> comparing the observed median number of outbreaks</w:t>
      </w:r>
      <w:r w:rsidR="0004631D">
        <w:rPr>
          <w:lang w:val="en-GB"/>
        </w:rPr>
        <w:t xml:space="preserve"> per country</w:t>
      </w:r>
      <w:r w:rsidR="00201630">
        <w:rPr>
          <w:lang w:val="en-GB"/>
        </w:rPr>
        <w:t xml:space="preserve"> from the OIE data</w:t>
      </w:r>
      <w:r w:rsidR="0004631D">
        <w:rPr>
          <w:lang w:val="en-GB"/>
        </w:rPr>
        <w:t xml:space="preserve">, </w:t>
      </w:r>
      <w:r w:rsidR="0004631D" w:rsidRPr="008C5B8B">
        <w:rPr>
          <w:i/>
          <w:lang w:val="en-GB"/>
        </w:rPr>
        <w:t>N</w:t>
      </w:r>
      <w:r w:rsidR="0004631D" w:rsidRPr="008C5B8B">
        <w:rPr>
          <w:i/>
          <w:lang w:val="en-GB"/>
        </w:rPr>
        <w:softHyphen/>
      </w:r>
      <w:r w:rsidR="0004631D" w:rsidRPr="008C5B8B">
        <w:rPr>
          <w:i/>
          <w:vertAlign w:val="subscript"/>
          <w:lang w:val="en-GB"/>
        </w:rPr>
        <w:t>ob</w:t>
      </w:r>
      <w:r w:rsidR="001637CF">
        <w:rPr>
          <w:i/>
          <w:lang w:val="en-GB"/>
        </w:rPr>
        <w:t>(</w:t>
      </w:r>
      <w:proofErr w:type="spellStart"/>
      <w:r w:rsidR="001637CF">
        <w:rPr>
          <w:i/>
          <w:lang w:val="en-GB"/>
        </w:rPr>
        <w:t>k,s</w:t>
      </w:r>
      <w:proofErr w:type="spellEnd"/>
      <w:r w:rsidR="0004631D" w:rsidRPr="008C5B8B">
        <w:rPr>
          <w:i/>
          <w:lang w:val="en-GB"/>
        </w:rPr>
        <w:t>)</w:t>
      </w:r>
      <w:r w:rsidR="0004631D">
        <w:rPr>
          <w:lang w:val="en-GB"/>
        </w:rPr>
        <w:t>,</w:t>
      </w:r>
      <w:r w:rsidR="00201630">
        <w:rPr>
          <w:lang w:val="en-GB"/>
        </w:rPr>
        <w:t xml:space="preserve"> against the </w:t>
      </w:r>
      <w:r w:rsidR="0004631D">
        <w:rPr>
          <w:lang w:val="en-GB"/>
        </w:rPr>
        <w:t>median, 25</w:t>
      </w:r>
      <w:r w:rsidR="0004631D" w:rsidRPr="0065106F">
        <w:rPr>
          <w:vertAlign w:val="superscript"/>
          <w:lang w:val="en-GB"/>
        </w:rPr>
        <w:t>th</w:t>
      </w:r>
      <w:r w:rsidR="0004631D">
        <w:rPr>
          <w:lang w:val="en-GB"/>
        </w:rPr>
        <w:t xml:space="preserve"> and 75</w:t>
      </w:r>
      <w:r w:rsidR="0004631D" w:rsidRPr="0065106F">
        <w:rPr>
          <w:vertAlign w:val="superscript"/>
          <w:lang w:val="en-GB"/>
        </w:rPr>
        <w:t>th</w:t>
      </w:r>
      <w:r w:rsidR="0004631D">
        <w:rPr>
          <w:lang w:val="en-GB"/>
        </w:rPr>
        <w:t xml:space="preserve"> percentiles of the </w:t>
      </w:r>
      <w:r w:rsidR="00201630">
        <w:rPr>
          <w:lang w:val="en-GB"/>
        </w:rPr>
        <w:t xml:space="preserve">predicted number of outbreaks </w:t>
      </w:r>
      <w:r w:rsidR="0004631D">
        <w:rPr>
          <w:lang w:val="en-GB"/>
        </w:rPr>
        <w:t xml:space="preserve">per country </w:t>
      </w:r>
      <w:r w:rsidR="00201630" w:rsidRPr="008C5B8B">
        <w:rPr>
          <w:lang w:val="en-GB"/>
        </w:rPr>
        <w:t>using the grouping fit</w:t>
      </w:r>
      <w:r w:rsidR="0004631D">
        <w:rPr>
          <w:lang w:val="en-GB"/>
        </w:rPr>
        <w:t xml:space="preserve">, </w:t>
      </w:r>
      <w:proofErr w:type="spellStart"/>
      <w:r w:rsidR="0004631D" w:rsidRPr="008C5B8B">
        <w:rPr>
          <w:i/>
          <w:lang w:val="en-GB"/>
        </w:rPr>
        <w:t>N</w:t>
      </w:r>
      <w:r w:rsidR="0004631D" w:rsidRPr="008C5B8B">
        <w:rPr>
          <w:i/>
          <w:vertAlign w:val="subscript"/>
          <w:lang w:val="en-GB"/>
        </w:rPr>
        <w:t>obFit</w:t>
      </w:r>
      <w:proofErr w:type="spellEnd"/>
      <w:r w:rsidR="001637CF">
        <w:rPr>
          <w:i/>
          <w:lang w:val="en-GB"/>
        </w:rPr>
        <w:t>(</w:t>
      </w:r>
      <w:proofErr w:type="spellStart"/>
      <w:r w:rsidR="001637CF">
        <w:rPr>
          <w:i/>
          <w:lang w:val="en-GB"/>
        </w:rPr>
        <w:t>k,s</w:t>
      </w:r>
      <w:proofErr w:type="spellEnd"/>
      <w:r w:rsidR="0004631D" w:rsidRPr="008C5B8B">
        <w:rPr>
          <w:i/>
          <w:lang w:val="en-GB"/>
        </w:rPr>
        <w:t>)</w:t>
      </w:r>
      <w:r w:rsidR="00201630">
        <w:rPr>
          <w:lang w:val="en-GB"/>
        </w:rPr>
        <w:t>. The predicted number of outbreaks were obtained by</w:t>
      </w:r>
      <w:r w:rsidRPr="008C5B8B">
        <w:rPr>
          <w:lang w:val="en-GB"/>
        </w:rPr>
        <w:t xml:space="preserve"> multiplying </w:t>
      </w:r>
      <w:r w:rsidR="00201630" w:rsidRPr="00201630">
        <w:rPr>
          <w:lang w:val="en-GB"/>
        </w:rPr>
        <w:t xml:space="preserve">the </w:t>
      </w:r>
      <w:r w:rsidR="00201630">
        <w:rPr>
          <w:lang w:val="en-GB"/>
        </w:rPr>
        <w:t xml:space="preserve">observed </w:t>
      </w:r>
      <w:r w:rsidR="00201630" w:rsidRPr="00201630">
        <w:rPr>
          <w:lang w:val="en-GB"/>
        </w:rPr>
        <w:t xml:space="preserve">number of establishments, </w:t>
      </w:r>
      <w:proofErr w:type="gramStart"/>
      <w:r w:rsidR="00201630" w:rsidRPr="00D82F64">
        <w:rPr>
          <w:i/>
          <w:lang w:val="en-GB"/>
        </w:rPr>
        <w:t>N</w:t>
      </w:r>
      <w:r w:rsidR="00201630" w:rsidRPr="00D82F64">
        <w:rPr>
          <w:i/>
          <w:vertAlign w:val="subscript"/>
          <w:lang w:val="en-GB"/>
        </w:rPr>
        <w:t>est</w:t>
      </w:r>
      <w:r w:rsidR="00201630" w:rsidRPr="00D82F64">
        <w:rPr>
          <w:i/>
          <w:lang w:val="en-GB"/>
        </w:rPr>
        <w:t>(</w:t>
      </w:r>
      <w:proofErr w:type="gramEnd"/>
      <w:r w:rsidR="00201630" w:rsidRPr="00D82F64">
        <w:rPr>
          <w:i/>
          <w:lang w:val="en-GB"/>
        </w:rPr>
        <w:t>k,s,y)</w:t>
      </w:r>
      <w:r w:rsidR="00201630">
        <w:rPr>
          <w:i/>
          <w:lang w:val="en-GB"/>
        </w:rPr>
        <w:t xml:space="preserve">, </w:t>
      </w:r>
      <w:r w:rsidR="00201630">
        <w:rPr>
          <w:lang w:val="en-GB"/>
        </w:rPr>
        <w:t>by</w:t>
      </w:r>
      <w:r w:rsidR="0004631D">
        <w:rPr>
          <w:lang w:val="en-GB"/>
        </w:rPr>
        <w:t xml:space="preserve"> </w:t>
      </w:r>
      <w:r w:rsidRPr="008C5B8B">
        <w:rPr>
          <w:lang w:val="en-GB"/>
        </w:rPr>
        <w:t xml:space="preserve">the </w:t>
      </w:r>
      <w:r w:rsidR="00201630">
        <w:rPr>
          <w:lang w:val="en-GB"/>
        </w:rPr>
        <w:t>50</w:t>
      </w:r>
      <w:r w:rsidR="00201630" w:rsidRPr="00D82F64">
        <w:rPr>
          <w:vertAlign w:val="superscript"/>
          <w:lang w:val="en-GB"/>
        </w:rPr>
        <w:t>th</w:t>
      </w:r>
      <w:r w:rsidR="00201630" w:rsidRPr="00D82F64">
        <w:rPr>
          <w:lang w:val="en-GB"/>
        </w:rPr>
        <w:t>,</w:t>
      </w:r>
      <w:r w:rsidR="00201630">
        <w:rPr>
          <w:lang w:val="en-GB"/>
        </w:rPr>
        <w:t xml:space="preserve"> </w:t>
      </w:r>
      <w:r w:rsidRPr="008C5B8B">
        <w:rPr>
          <w:lang w:val="en-GB"/>
        </w:rPr>
        <w:t>25</w:t>
      </w:r>
      <w:r w:rsidRPr="008C5B8B">
        <w:rPr>
          <w:vertAlign w:val="superscript"/>
          <w:lang w:val="en-GB"/>
        </w:rPr>
        <w:t>th</w:t>
      </w:r>
      <w:r w:rsidR="0004631D" w:rsidRPr="00D82F64">
        <w:rPr>
          <w:lang w:val="en-GB"/>
        </w:rPr>
        <w:t xml:space="preserve"> and</w:t>
      </w:r>
      <w:r w:rsidR="0004631D">
        <w:rPr>
          <w:vertAlign w:val="superscript"/>
          <w:lang w:val="en-GB"/>
        </w:rPr>
        <w:t xml:space="preserve"> </w:t>
      </w:r>
      <w:r w:rsidR="0004631D">
        <w:rPr>
          <w:lang w:val="en-GB"/>
        </w:rPr>
        <w:t>7</w:t>
      </w:r>
      <w:r w:rsidRPr="008C5B8B">
        <w:rPr>
          <w:lang w:val="en-GB"/>
        </w:rPr>
        <w:t>5</w:t>
      </w:r>
      <w:r w:rsidRPr="008C5B8B">
        <w:rPr>
          <w:vertAlign w:val="superscript"/>
          <w:lang w:val="en-GB"/>
        </w:rPr>
        <w:t>th</w:t>
      </w:r>
      <w:r w:rsidRPr="008C5B8B">
        <w:rPr>
          <w:lang w:val="en-GB"/>
        </w:rPr>
        <w:t xml:space="preserve"> percentiles of the fitted distribution, </w:t>
      </w:r>
      <w:proofErr w:type="spellStart"/>
      <w:r w:rsidRPr="008C5B8B">
        <w:rPr>
          <w:i/>
          <w:lang w:val="en-GB"/>
        </w:rPr>
        <w:t>P</w:t>
      </w:r>
      <w:r w:rsidRPr="008C5B8B">
        <w:rPr>
          <w:i/>
          <w:vertAlign w:val="subscript"/>
          <w:lang w:val="en-GB"/>
        </w:rPr>
        <w:t>fit</w:t>
      </w:r>
      <w:proofErr w:type="spellEnd"/>
      <w:r w:rsidRPr="008C5B8B">
        <w:rPr>
          <w:i/>
          <w:lang w:val="en-GB"/>
        </w:rPr>
        <w:t>(</w:t>
      </w:r>
      <w:proofErr w:type="spellStart"/>
      <w:r w:rsidRPr="008C5B8B">
        <w:rPr>
          <w:i/>
          <w:lang w:val="en-GB"/>
        </w:rPr>
        <w:t>g,s</w:t>
      </w:r>
      <w:proofErr w:type="spellEnd"/>
      <w:r w:rsidRPr="008C5B8B">
        <w:rPr>
          <w:i/>
          <w:lang w:val="en-GB"/>
        </w:rPr>
        <w:t>)</w:t>
      </w:r>
      <w:r w:rsidRPr="00885288">
        <w:fldChar w:fldCharType="begin"/>
      </w:r>
      <w:r w:rsidRPr="008C5B8B">
        <w:rPr>
          <w:lang w:val="en-GB"/>
        </w:rPr>
        <w:instrText xml:space="preserve"> QUOTE </w:instrText>
      </w:r>
      <m:oMath>
        <m:sSub>
          <m:sSubPr>
            <m:ctrlPr>
              <w:rPr>
                <w:rFonts w:ascii="Cambria Math" w:hAnsi="Cambria Math"/>
                <w:i/>
              </w:rPr>
            </m:ctrlPr>
          </m:sSubPr>
          <m:e>
            <m:r>
              <m:rPr>
                <m:sty m:val="p"/>
              </m:rPr>
              <w:rPr>
                <w:rFonts w:ascii="Cambria Math" w:hAnsi="Cambria Math"/>
                <w:lang w:val="en-GB"/>
              </w:rPr>
              <m:t>P</m:t>
            </m:r>
          </m:e>
          <m:sub>
            <m:r>
              <m:rPr>
                <m:sty m:val="p"/>
              </m:rPr>
              <w:rPr>
                <w:rFonts w:ascii="Cambria Math" w:hAnsi="Cambria Math"/>
                <w:lang w:val="en-GB"/>
              </w:rPr>
              <m:t>fit</m:t>
            </m:r>
          </m:sub>
        </m:sSub>
        <m:d>
          <m:dPr>
            <m:ctrlPr>
              <w:rPr>
                <w:rFonts w:ascii="Cambria Math" w:hAnsi="Cambria Math"/>
                <w:i/>
              </w:rPr>
            </m:ctrlPr>
          </m:dPr>
          <m:e>
            <m:r>
              <m:rPr>
                <m:sty m:val="p"/>
              </m:rPr>
              <w:rPr>
                <w:rFonts w:ascii="Cambria Math" w:hAnsi="Cambria Math"/>
                <w:lang w:val="en-GB"/>
              </w:rPr>
              <m:t>g,s</m:t>
            </m:r>
          </m:e>
        </m:d>
      </m:oMath>
      <w:r w:rsidRPr="008C5B8B">
        <w:rPr>
          <w:lang w:val="en-GB"/>
        </w:rPr>
        <w:instrText xml:space="preserve"> </w:instrText>
      </w:r>
      <w:r w:rsidRPr="00885288">
        <w:fldChar w:fldCharType="end"/>
      </w:r>
      <w:r w:rsidRPr="008C5B8B">
        <w:rPr>
          <w:i/>
          <w:lang w:val="en-GB"/>
        </w:rPr>
        <w:t xml:space="preserve">. </w:t>
      </w:r>
      <w:r w:rsidR="0004631D">
        <w:rPr>
          <w:lang w:val="en-GB"/>
        </w:rPr>
        <w:t>If</w:t>
      </w:r>
      <w:r w:rsidRPr="008C5B8B">
        <w:rPr>
          <w:lang w:val="en-GB"/>
        </w:rPr>
        <w:t xml:space="preserve"> the median of the raw OIE data</w:t>
      </w:r>
      <w:r w:rsidR="0004631D">
        <w:rPr>
          <w:lang w:val="en-GB"/>
        </w:rPr>
        <w:t xml:space="preserve"> </w:t>
      </w:r>
      <w:r w:rsidRPr="008C5B8B">
        <w:rPr>
          <w:lang w:val="en-GB"/>
        </w:rPr>
        <w:t>fell between the 25</w:t>
      </w:r>
      <w:r w:rsidRPr="008C5B8B">
        <w:rPr>
          <w:vertAlign w:val="superscript"/>
          <w:lang w:val="en-GB"/>
        </w:rPr>
        <w:t>th</w:t>
      </w:r>
      <w:r w:rsidRPr="008C5B8B">
        <w:rPr>
          <w:lang w:val="en-GB"/>
        </w:rPr>
        <w:t xml:space="preserve"> and </w:t>
      </w:r>
      <w:r w:rsidR="0004631D">
        <w:rPr>
          <w:lang w:val="en-GB"/>
        </w:rPr>
        <w:t>7</w:t>
      </w:r>
      <w:r w:rsidR="0004631D" w:rsidRPr="008C5B8B">
        <w:rPr>
          <w:lang w:val="en-GB"/>
        </w:rPr>
        <w:t>5</w:t>
      </w:r>
      <w:r w:rsidR="0004631D" w:rsidRPr="008C5B8B">
        <w:rPr>
          <w:vertAlign w:val="superscript"/>
          <w:lang w:val="en-GB"/>
        </w:rPr>
        <w:t>th</w:t>
      </w:r>
      <w:r w:rsidR="0004631D" w:rsidRPr="008C5B8B">
        <w:rPr>
          <w:lang w:val="en-GB"/>
        </w:rPr>
        <w:t xml:space="preserve"> </w:t>
      </w:r>
      <w:r w:rsidRPr="008C5B8B">
        <w:rPr>
          <w:lang w:val="en-GB"/>
        </w:rPr>
        <w:t>percentiles</w:t>
      </w:r>
      <w:r w:rsidR="0004631D">
        <w:rPr>
          <w:lang w:val="en-GB"/>
        </w:rPr>
        <w:t xml:space="preserve"> of the fitted distribution</w:t>
      </w:r>
      <w:r w:rsidRPr="008C5B8B">
        <w:rPr>
          <w:lang w:val="en-GB"/>
        </w:rPr>
        <w:t xml:space="preserve"> then it was considered that the fitted distribution was a reasonable estimate for that country. </w:t>
      </w:r>
      <w:r w:rsidR="001637CF">
        <w:rPr>
          <w:lang w:val="en-GB"/>
        </w:rPr>
        <w:t>Additionally</w:t>
      </w:r>
      <w:r w:rsidR="009E62E3">
        <w:rPr>
          <w:lang w:val="en-GB"/>
        </w:rPr>
        <w:t xml:space="preserve"> </w:t>
      </w:r>
      <w:r w:rsidR="001637CF">
        <w:rPr>
          <w:lang w:val="en-GB"/>
        </w:rPr>
        <w:t>the squared difference between the observed and predicted country medians were calculated</w:t>
      </w:r>
      <w:r w:rsidR="00487CB3">
        <w:rPr>
          <w:lang w:val="en-GB"/>
        </w:rPr>
        <w:t xml:space="preserve"> for different grouping </w:t>
      </w:r>
      <w:r w:rsidR="00487CB3" w:rsidRPr="0060264B">
        <w:rPr>
          <w:lang w:val="en-GB"/>
        </w:rPr>
        <w:t xml:space="preserve">methods, </w:t>
      </w:r>
      <w:r w:rsidR="00487CB3" w:rsidRPr="0060264B">
        <w:rPr>
          <w:i/>
          <w:lang w:val="en-GB"/>
        </w:rPr>
        <w:t>G</w:t>
      </w:r>
      <w:r w:rsidR="0060264B">
        <w:rPr>
          <w:i/>
          <w:lang w:val="en-GB"/>
        </w:rPr>
        <w:t xml:space="preserve"> </w:t>
      </w:r>
      <w:r w:rsidR="0060264B">
        <w:rPr>
          <w:lang w:val="en-GB"/>
        </w:rPr>
        <w:t>(Eq. 4);</w:t>
      </w:r>
    </w:p>
    <w:p w14:paraId="35C8C1CC" w14:textId="76334BE5" w:rsidR="00761E33" w:rsidRDefault="0051616E" w:rsidP="0051616E">
      <w:pPr>
        <w:tabs>
          <w:tab w:val="center" w:pos="4680"/>
          <w:tab w:val="right" w:pos="9072"/>
        </w:tabs>
        <w:spacing w:before="240"/>
        <w:jc w:val="both"/>
        <w:rPr>
          <w:lang w:val="en-GB"/>
        </w:rPr>
      </w:pPr>
      <w:r>
        <w:rPr>
          <w:lang w:val="en-GB"/>
        </w:rPr>
        <w:tab/>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diff</m:t>
            </m:r>
          </m:sub>
        </m:sSub>
        <m:d>
          <m:dPr>
            <m:ctrlPr>
              <w:rPr>
                <w:rFonts w:ascii="Cambria Math" w:hAnsi="Cambria Math"/>
                <w:i/>
                <w:lang w:val="en-GB"/>
              </w:rPr>
            </m:ctrlPr>
          </m:dPr>
          <m:e>
            <m:r>
              <w:rPr>
                <w:rFonts w:ascii="Cambria Math" w:hAnsi="Cambria Math"/>
                <w:lang w:val="en-GB"/>
              </w:rPr>
              <m:t>k,s,G</m:t>
            </m:r>
          </m:e>
        </m:d>
        <m:r>
          <w:rPr>
            <w:rFonts w:ascii="Cambria Math" w:hAnsi="Cambria Math"/>
            <w:lang w:val="en-GB"/>
          </w:rPr>
          <m:t xml:space="preserve">= </m:t>
        </m:r>
        <m:sSup>
          <m:sSupPr>
            <m:ctrlPr>
              <w:rPr>
                <w:rFonts w:ascii="Cambria Math" w:hAnsi="Cambria Math"/>
                <w:i/>
                <w:lang w:val="en-GB"/>
              </w:rPr>
            </m:ctrlPr>
          </m:sSupPr>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ob</m:t>
                    </m:r>
                  </m:sub>
                </m:sSub>
                <m:r>
                  <w:rPr>
                    <w:rFonts w:ascii="Cambria Math" w:hAnsi="Cambria Math"/>
                    <w:lang w:val="en-GB"/>
                  </w:rPr>
                  <m:t>(k,s</m:t>
                </m:r>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obFit</m:t>
                </m:r>
              </m:sub>
            </m:sSub>
            <m:r>
              <w:rPr>
                <w:rFonts w:ascii="Cambria Math" w:hAnsi="Cambria Math"/>
                <w:lang w:val="en-GB"/>
              </w:rPr>
              <m:t>(k,s,G))</m:t>
            </m:r>
          </m:e>
          <m:sup>
            <m:r>
              <w:rPr>
                <w:rFonts w:ascii="Cambria Math" w:hAnsi="Cambria Math"/>
                <w:lang w:val="en-GB"/>
              </w:rPr>
              <m:t>2</m:t>
            </m:r>
          </m:sup>
        </m:sSup>
      </m:oMath>
      <w:r>
        <w:rPr>
          <w:lang w:val="en-GB"/>
        </w:rPr>
        <w:t>.</w:t>
      </w:r>
      <w:r w:rsidR="00761E33">
        <w:rPr>
          <w:lang w:val="en-GB"/>
        </w:rPr>
        <w:tab/>
        <w:t>(4)</w:t>
      </w:r>
    </w:p>
    <w:p w14:paraId="7E104BA9" w14:textId="77777777" w:rsidR="0051616E" w:rsidRDefault="001637CF" w:rsidP="0051616E">
      <w:pPr>
        <w:spacing w:before="240"/>
        <w:jc w:val="both"/>
        <w:rPr>
          <w:lang w:val="en-GB"/>
        </w:rPr>
      </w:pPr>
      <w:r>
        <w:rPr>
          <w:lang w:val="en-GB"/>
        </w:rPr>
        <w:t xml:space="preserve">Statistics were generated for the total squared difference over all countries </w:t>
      </w:r>
    </w:p>
    <w:p w14:paraId="71D7F3B3" w14:textId="02AC331B" w:rsidR="001637CF" w:rsidRDefault="0051616E" w:rsidP="0051616E">
      <w:pPr>
        <w:tabs>
          <w:tab w:val="center" w:pos="4820"/>
          <w:tab w:val="right" w:pos="9072"/>
        </w:tabs>
        <w:spacing w:before="240"/>
        <w:jc w:val="both"/>
        <w:rPr>
          <w:lang w:val="en-GB"/>
        </w:rPr>
      </w:pPr>
      <w:r>
        <w:rPr>
          <w:lang w:val="en-GB"/>
        </w:rPr>
        <w:tab/>
      </w:r>
      <m:oMath>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diffTot</m:t>
            </m:r>
          </m:sub>
        </m:sSub>
        <m:d>
          <m:dPr>
            <m:ctrlPr>
              <w:rPr>
                <w:rFonts w:ascii="Cambria Math" w:hAnsi="Cambria Math"/>
                <w:i/>
                <w:lang w:val="en-GB"/>
              </w:rPr>
            </m:ctrlPr>
          </m:dPr>
          <m:e>
            <m:r>
              <w:rPr>
                <w:rFonts w:ascii="Cambria Math" w:hAnsi="Cambria Math"/>
                <w:lang w:val="en-GB"/>
              </w:rPr>
              <m:t>s,G</m:t>
            </m:r>
          </m:e>
        </m:d>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k</m:t>
            </m:r>
          </m:sub>
          <m:sup/>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diff</m:t>
                </m:r>
              </m:sub>
            </m:sSub>
            <m:r>
              <w:rPr>
                <w:rFonts w:ascii="Cambria Math" w:hAnsi="Cambria Math"/>
                <w:lang w:val="en-GB"/>
              </w:rPr>
              <m:t>(k,s,G)</m:t>
            </m:r>
          </m:e>
        </m:nary>
      </m:oMath>
      <w:r>
        <w:rPr>
          <w:lang w:val="en-GB"/>
        </w:rPr>
        <w:tab/>
        <w:t>(5)</w:t>
      </w:r>
      <w:r>
        <w:rPr>
          <w:lang w:val="en-GB"/>
        </w:rPr>
        <w:tab/>
      </w:r>
    </w:p>
    <w:p w14:paraId="6210E876" w14:textId="16F46181" w:rsidR="0041442B" w:rsidRDefault="00BE3E0D" w:rsidP="00D82F64">
      <w:pPr>
        <w:spacing w:before="240"/>
        <w:jc w:val="both"/>
        <w:rPr>
          <w:lang w:val="en-GB"/>
        </w:rPr>
      </w:pPr>
      <w:proofErr w:type="gramStart"/>
      <w:r>
        <w:rPr>
          <w:lang w:val="en-GB"/>
        </w:rPr>
        <w:lastRenderedPageBreak/>
        <w:t>and</w:t>
      </w:r>
      <w:proofErr w:type="gramEnd"/>
      <w:r>
        <w:rPr>
          <w:lang w:val="en-GB"/>
        </w:rPr>
        <w:t xml:space="preserve"> </w:t>
      </w:r>
      <w:r w:rsidR="00BD7C77">
        <w:rPr>
          <w:lang w:val="en-GB"/>
        </w:rPr>
        <w:t xml:space="preserve">a comparison between two grouping methods, </w:t>
      </w:r>
      <w:r w:rsidR="00BD7C77" w:rsidRPr="00471586">
        <w:rPr>
          <w:i/>
          <w:lang w:val="en-GB"/>
        </w:rPr>
        <w:t>G</w:t>
      </w:r>
      <w:r w:rsidR="00BD7C77" w:rsidRPr="00471586">
        <w:rPr>
          <w:i/>
          <w:vertAlign w:val="subscript"/>
          <w:lang w:val="en-GB"/>
        </w:rPr>
        <w:t>1</w:t>
      </w:r>
      <w:r w:rsidR="00BD7C77">
        <w:rPr>
          <w:vertAlign w:val="subscript"/>
          <w:lang w:val="en-GB"/>
        </w:rPr>
        <w:t xml:space="preserve"> </w:t>
      </w:r>
      <w:r w:rsidR="00BD7C77">
        <w:rPr>
          <w:lang w:val="en-GB"/>
        </w:rPr>
        <w:t xml:space="preserve">and </w:t>
      </w:r>
      <w:r w:rsidR="00BD7C77" w:rsidRPr="00471586">
        <w:rPr>
          <w:i/>
          <w:lang w:val="en-GB"/>
        </w:rPr>
        <w:t>G</w:t>
      </w:r>
      <w:r w:rsidR="00BD7C77" w:rsidRPr="00471586">
        <w:rPr>
          <w:i/>
          <w:vertAlign w:val="subscript"/>
          <w:lang w:val="en-GB"/>
        </w:rPr>
        <w:t>2</w:t>
      </w:r>
      <w:r w:rsidR="00BD7C77">
        <w:rPr>
          <w:lang w:val="en-GB"/>
        </w:rPr>
        <w:t xml:space="preserve">, for </w:t>
      </w:r>
      <w:r>
        <w:rPr>
          <w:lang w:val="en-GB"/>
        </w:rPr>
        <w:t xml:space="preserve">the number of countries where the squared difference was smaller for </w:t>
      </w:r>
      <w:r w:rsidRPr="00D82F64">
        <w:rPr>
          <w:i/>
          <w:lang w:val="en-GB"/>
        </w:rPr>
        <w:t>G</w:t>
      </w:r>
      <w:r w:rsidRPr="00D82F64">
        <w:rPr>
          <w:i/>
          <w:vertAlign w:val="subscript"/>
          <w:lang w:val="en-GB"/>
        </w:rPr>
        <w:t>1</w:t>
      </w:r>
      <w:r w:rsidR="00BD7C77">
        <w:rPr>
          <w:lang w:val="en-GB"/>
        </w:rPr>
        <w:t xml:space="preserve"> than for </w:t>
      </w:r>
      <w:r w:rsidR="00BD7C77" w:rsidRPr="00D82F64">
        <w:rPr>
          <w:i/>
          <w:lang w:val="en-GB"/>
        </w:rPr>
        <w:t>G</w:t>
      </w:r>
      <w:r w:rsidR="00BD7C77" w:rsidRPr="00D82F64">
        <w:rPr>
          <w:i/>
          <w:vertAlign w:val="subscript"/>
          <w:lang w:val="en-GB"/>
        </w:rPr>
        <w:t>2</w:t>
      </w:r>
      <w:r w:rsidR="00BD7C77">
        <w:rPr>
          <w:i/>
          <w:lang w:val="en-GB"/>
        </w:rPr>
        <w:t xml:space="preserve">, </w:t>
      </w:r>
      <w:r w:rsidR="00BD7C77" w:rsidRPr="00177D86">
        <w:rPr>
          <w:i/>
          <w:lang w:val="en-GB"/>
        </w:rPr>
        <w:t>N</w:t>
      </w:r>
      <w:r w:rsidR="00BD7C77" w:rsidRPr="00177D86">
        <w:rPr>
          <w:i/>
          <w:vertAlign w:val="subscript"/>
          <w:lang w:val="en-GB"/>
        </w:rPr>
        <w:t>diff</w:t>
      </w:r>
      <w:r w:rsidR="00BD7C77" w:rsidRPr="00177D86">
        <w:rPr>
          <w:i/>
          <w:lang w:val="en-GB"/>
        </w:rPr>
        <w:t>(s,</w:t>
      </w:r>
      <w:r w:rsidR="00BD7C77">
        <w:rPr>
          <w:i/>
          <w:lang w:val="en-GB"/>
        </w:rPr>
        <w:t>G</w:t>
      </w:r>
      <w:r w:rsidR="00BD7C77" w:rsidRPr="00177D86">
        <w:rPr>
          <w:i/>
          <w:vertAlign w:val="subscript"/>
          <w:lang w:val="en-GB"/>
        </w:rPr>
        <w:t>1</w:t>
      </w:r>
      <w:r w:rsidR="00BD7C77" w:rsidRPr="00177D86">
        <w:rPr>
          <w:i/>
          <w:lang w:val="en-GB"/>
        </w:rPr>
        <w:t>)</w:t>
      </w:r>
      <w:r w:rsidR="00BD7C77">
        <w:rPr>
          <w:lang w:val="en-GB"/>
        </w:rPr>
        <w:t xml:space="preserve">, </w:t>
      </w:r>
      <w:r w:rsidR="00BD7C77" w:rsidRPr="00471586">
        <w:rPr>
          <w:i/>
          <w:lang w:val="en-GB"/>
        </w:rPr>
        <w:t xml:space="preserve"> </w:t>
      </w:r>
      <w:r>
        <w:rPr>
          <w:lang w:val="en-GB"/>
        </w:rPr>
        <w:t xml:space="preserve"> </w:t>
      </w:r>
    </w:p>
    <w:p w14:paraId="654F1285" w14:textId="1DC05EF3" w:rsidR="0002428E" w:rsidRPr="0004342F" w:rsidRDefault="0041442B" w:rsidP="0004342F">
      <w:pPr>
        <w:tabs>
          <w:tab w:val="center" w:pos="4820"/>
          <w:tab w:val="right" w:pos="9072"/>
        </w:tabs>
        <w:spacing w:before="240"/>
        <w:jc w:val="both"/>
        <w:rPr>
          <w:lang w:val="en-GB"/>
        </w:rPr>
      </w:pPr>
      <w:r>
        <w:rPr>
          <w:lang w:val="en-GB"/>
        </w:rPr>
        <w:tab/>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diff</m:t>
            </m:r>
          </m:sub>
        </m:sSub>
        <m:d>
          <m:dPr>
            <m:ctrlPr>
              <w:rPr>
                <w:rFonts w:ascii="Cambria Math" w:hAnsi="Cambria Math"/>
                <w:i/>
                <w:lang w:val="en-GB"/>
              </w:rPr>
            </m:ctrlPr>
          </m:dPr>
          <m:e>
            <m:r>
              <w:rPr>
                <w:rFonts w:ascii="Cambria Math" w:hAnsi="Cambria Math"/>
                <w:lang w:val="en-GB"/>
              </w:rPr>
              <m:t>s,</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m:t>
                </m:r>
              </m:sub>
            </m:sSub>
          </m:e>
        </m:d>
        <m:r>
          <w:rPr>
            <w:rFonts w:ascii="Cambria Math" w:hAnsi="Cambria Math"/>
            <w:lang w:val="en-GB"/>
          </w:rPr>
          <m:t>=</m:t>
        </m:r>
        <m:nary>
          <m:naryPr>
            <m:chr m:val="∑"/>
            <m:limLoc m:val="undOvr"/>
            <m:supHide m:val="1"/>
            <m:ctrlPr>
              <w:rPr>
                <w:rFonts w:ascii="Cambria Math" w:hAnsi="Cambria Math"/>
                <w:i/>
                <w:lang w:val="en-GB"/>
              </w:rPr>
            </m:ctrlPr>
          </m:naryPr>
          <m:sub>
            <m:r>
              <w:rPr>
                <w:rFonts w:ascii="Cambria Math" w:hAnsi="Cambria Math"/>
                <w:lang w:val="en-GB"/>
              </w:rPr>
              <m:t>k</m:t>
            </m:r>
          </m:sub>
          <m:sup/>
          <m:e>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diff</m:t>
                </m:r>
              </m:sub>
            </m:sSub>
            <m:d>
              <m:dPr>
                <m:ctrlPr>
                  <w:rPr>
                    <w:rFonts w:ascii="Cambria Math" w:hAnsi="Cambria Math"/>
                    <w:i/>
                    <w:lang w:val="en-GB"/>
                  </w:rPr>
                </m:ctrlPr>
              </m:dPr>
              <m:e>
                <m:r>
                  <w:rPr>
                    <w:rFonts w:ascii="Cambria Math" w:hAnsi="Cambria Math"/>
                    <w:lang w:val="en-GB"/>
                  </w:rPr>
                  <m:t>k,s,</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1</m:t>
                    </m:r>
                  </m:sub>
                </m:sSub>
              </m:e>
            </m:d>
            <m:r>
              <w:rPr>
                <w:rFonts w:ascii="Cambria Math" w:hAnsi="Cambria Math"/>
                <w:lang w:val="en-GB"/>
              </w:rPr>
              <m:t>&lt;</m:t>
            </m:r>
            <m:sSub>
              <m:sSubPr>
                <m:ctrlPr>
                  <w:rPr>
                    <w:rFonts w:ascii="Cambria Math" w:hAnsi="Cambria Math"/>
                    <w:i/>
                    <w:lang w:val="en-GB"/>
                  </w:rPr>
                </m:ctrlPr>
              </m:sSubPr>
              <m:e>
                <m:r>
                  <w:rPr>
                    <w:rFonts w:ascii="Cambria Math" w:hAnsi="Cambria Math"/>
                    <w:lang w:val="en-GB"/>
                  </w:rPr>
                  <m:t>S</m:t>
                </m:r>
              </m:e>
              <m:sub>
                <m:r>
                  <w:rPr>
                    <w:rFonts w:ascii="Cambria Math" w:hAnsi="Cambria Math"/>
                    <w:lang w:val="en-GB"/>
                  </w:rPr>
                  <m:t>diff</m:t>
                </m:r>
              </m:sub>
            </m:sSub>
            <m:r>
              <w:rPr>
                <w:rFonts w:ascii="Cambria Math" w:hAnsi="Cambria Math"/>
                <w:lang w:val="en-GB"/>
              </w:rPr>
              <m:t>(k,s,</m:t>
            </m:r>
            <m:sSub>
              <m:sSubPr>
                <m:ctrlPr>
                  <w:rPr>
                    <w:rFonts w:ascii="Cambria Math" w:hAnsi="Cambria Math"/>
                    <w:i/>
                    <w:lang w:val="en-GB"/>
                  </w:rPr>
                </m:ctrlPr>
              </m:sSubPr>
              <m:e>
                <m:r>
                  <w:rPr>
                    <w:rFonts w:ascii="Cambria Math" w:hAnsi="Cambria Math"/>
                    <w:lang w:val="en-GB"/>
                  </w:rPr>
                  <m:t>G</m:t>
                </m:r>
              </m:e>
              <m:sub>
                <m:r>
                  <w:rPr>
                    <w:rFonts w:ascii="Cambria Math" w:hAnsi="Cambria Math"/>
                    <w:lang w:val="en-GB"/>
                  </w:rPr>
                  <m:t>2</m:t>
                </m:r>
              </m:sub>
            </m:sSub>
            <m:r>
              <w:rPr>
                <w:rFonts w:ascii="Cambria Math" w:hAnsi="Cambria Math"/>
                <w:lang w:val="en-GB"/>
              </w:rPr>
              <m:t>))</m:t>
            </m:r>
          </m:e>
        </m:nary>
        <m:r>
          <w:rPr>
            <w:rFonts w:ascii="Cambria Math" w:hAnsi="Cambria Math"/>
            <w:lang w:val="en-GB"/>
          </w:rPr>
          <m:t>.</m:t>
        </m:r>
      </m:oMath>
      <w:r>
        <w:rPr>
          <w:lang w:val="en-GB"/>
        </w:rPr>
        <w:tab/>
        <w:t>(6)</w:t>
      </w:r>
      <w:bookmarkStart w:id="0" w:name="_GoBack"/>
      <w:bookmarkEnd w:id="0"/>
    </w:p>
    <w:p w14:paraId="25866C3B" w14:textId="77777777" w:rsidR="008C3249" w:rsidRPr="008C5B8B" w:rsidRDefault="008C3249" w:rsidP="00D82F64">
      <w:pPr>
        <w:pStyle w:val="1stdegreeheading"/>
        <w:spacing w:before="120" w:after="0"/>
        <w:rPr>
          <w:lang w:val="en-GB"/>
        </w:rPr>
      </w:pPr>
      <w:r w:rsidRPr="008C5B8B">
        <w:rPr>
          <w:lang w:val="en-GB"/>
        </w:rPr>
        <w:t>RESULTS</w:t>
      </w:r>
    </w:p>
    <w:p w14:paraId="6118F2F3" w14:textId="31E8041F" w:rsidR="0004342F" w:rsidRDefault="0004631D" w:rsidP="0004342F">
      <w:pPr>
        <w:spacing w:before="240"/>
        <w:ind w:firstLine="284"/>
        <w:jc w:val="both"/>
      </w:pPr>
      <w:r w:rsidRPr="0004631D">
        <w:t>Approximately 60% of observations in the rabies dataset were a non-zero value. This varied between species; while 44% of countries reported at least one value for rabies in dogs, &lt;1% of countries reported at least one value for deer</w:t>
      </w:r>
      <w:r w:rsidR="00F00B87">
        <w:t xml:space="preserve"> (</w:t>
      </w:r>
      <w:r w:rsidR="00796532">
        <w:t>Table</w:t>
      </w:r>
      <w:r w:rsidR="00F00B87">
        <w:t xml:space="preserve"> 1)</w:t>
      </w:r>
      <w:r w:rsidRPr="0004631D">
        <w:t>. This value for deer was thought to be largely due to the low country level prevalence of rabies in deer; due to the lack of data</w:t>
      </w:r>
      <w:r w:rsidR="00F00B87">
        <w:t xml:space="preserve">, </w:t>
      </w:r>
      <w:r w:rsidRPr="0004631D">
        <w:t>results for deer</w:t>
      </w:r>
      <w:r w:rsidR="00F00B87">
        <w:t xml:space="preserve"> and buffalo were considered highly uncertain</w:t>
      </w:r>
      <w:r w:rsidRPr="0004631D">
        <w:t xml:space="preserve"> and are not</w:t>
      </w:r>
      <w:r w:rsidR="00604451">
        <w:t xml:space="preserve"> considered further</w:t>
      </w:r>
      <w:r w:rsidRPr="0004631D">
        <w:t>.</w:t>
      </w:r>
      <w:r w:rsidR="00796532">
        <w:t xml:space="preserve">  Table 1 also</w:t>
      </w:r>
      <w:r w:rsidR="008C756F">
        <w:t xml:space="preserve"> shows that</w:t>
      </w:r>
      <w:r w:rsidR="00796532">
        <w:t xml:space="preserve"> while Southern Africa tends to have a lot of data, Australasia has no</w:t>
      </w:r>
      <w:r w:rsidR="005550B3">
        <w:t xml:space="preserve"> reported</w:t>
      </w:r>
      <w:r w:rsidR="00796532">
        <w:t xml:space="preserve"> </w:t>
      </w:r>
      <w:r w:rsidR="005550B3">
        <w:t>outbreaks</w:t>
      </w:r>
      <w:r w:rsidR="00796532">
        <w:t xml:space="preserve">. This highlights </w:t>
      </w:r>
      <w:r w:rsidR="00517527">
        <w:t>an important consideration in the choice</w:t>
      </w:r>
      <w:r w:rsidR="00796532">
        <w:t xml:space="preserve"> of the </w:t>
      </w:r>
      <w:r w:rsidR="008B72E2">
        <w:t xml:space="preserve">most appropriate </w:t>
      </w:r>
      <w:r w:rsidR="00796532">
        <w:t>grouping me</w:t>
      </w:r>
      <w:r w:rsidR="008B72E2">
        <w:t>thod</w:t>
      </w:r>
      <w:r w:rsidR="00796532">
        <w:t>; a me</w:t>
      </w:r>
      <w:r w:rsidR="008B72E2">
        <w:t>thod</w:t>
      </w:r>
      <w:r w:rsidR="00796532">
        <w:t xml:space="preserve"> that provides a very good</w:t>
      </w:r>
      <w:r w:rsidR="000156F9">
        <w:t xml:space="preserve"> </w:t>
      </w:r>
      <w:r w:rsidR="005550B3">
        <w:t xml:space="preserve">distribution </w:t>
      </w:r>
      <w:r w:rsidR="000156F9">
        <w:t>fit</w:t>
      </w:r>
      <w:r w:rsidR="00796532">
        <w:t xml:space="preserve"> for one </w:t>
      </w:r>
      <w:r w:rsidR="005550B3">
        <w:t>region, but has no data for the other regions,</w:t>
      </w:r>
      <w:r w:rsidR="00796532">
        <w:t xml:space="preserve"> may not be as good as </w:t>
      </w:r>
      <w:r w:rsidR="005550B3">
        <w:t xml:space="preserve">one </w:t>
      </w:r>
      <w:r w:rsidR="00796532">
        <w:t>that has reasonable data for all groups</w:t>
      </w:r>
      <w:r w:rsidR="005550B3">
        <w:t xml:space="preserve"> but has a less good distibution fit</w:t>
      </w:r>
      <w:r w:rsidR="00796532">
        <w:t>.</w:t>
      </w:r>
    </w:p>
    <w:p w14:paraId="2CF2ED2F" w14:textId="77777777" w:rsidR="0004342F" w:rsidRPr="0004342F" w:rsidRDefault="0004342F" w:rsidP="0004342F">
      <w:pPr>
        <w:spacing w:before="240"/>
        <w:ind w:firstLine="284"/>
        <w:jc w:val="both"/>
      </w:pPr>
    </w:p>
    <w:p w14:paraId="3E5B3630" w14:textId="199CF654" w:rsidR="009D7E9D" w:rsidRDefault="009D7E9D" w:rsidP="009D7E9D">
      <w:pPr>
        <w:pStyle w:val="TableTitle"/>
      </w:pPr>
      <w:r>
        <w:t xml:space="preserve">Table 1. </w:t>
      </w:r>
      <w:r w:rsidRPr="008C5B8B">
        <w:rPr>
          <w:lang w:val="en-GB"/>
        </w:rPr>
        <w:t>Percentage</w:t>
      </w:r>
      <w:r>
        <w:rPr>
          <w:lang w:val="en-GB"/>
        </w:rPr>
        <w:t xml:space="preserve"> of countries with at least one reported outbreak of classical rabies by UN sub region and species</w:t>
      </w:r>
    </w:p>
    <w:tbl>
      <w:tblPr>
        <w:tblW w:w="5000" w:type="pct"/>
        <w:jc w:val="center"/>
        <w:tblBorders>
          <w:top w:val="single" w:sz="12" w:space="0" w:color="808080"/>
          <w:bottom w:val="single" w:sz="12" w:space="0" w:color="808080"/>
        </w:tblBorders>
        <w:tblLook w:val="0000" w:firstRow="0" w:lastRow="0" w:firstColumn="0" w:lastColumn="0" w:noHBand="0" w:noVBand="0"/>
      </w:tblPr>
      <w:tblGrid>
        <w:gridCol w:w="1916"/>
        <w:gridCol w:w="915"/>
        <w:gridCol w:w="917"/>
        <w:gridCol w:w="915"/>
        <w:gridCol w:w="917"/>
        <w:gridCol w:w="917"/>
        <w:gridCol w:w="915"/>
        <w:gridCol w:w="917"/>
        <w:gridCol w:w="913"/>
      </w:tblGrid>
      <w:tr w:rsidR="009D7E9D" w:rsidRPr="004943CE" w14:paraId="132B7425" w14:textId="36513035" w:rsidTr="00D82F64">
        <w:trPr>
          <w:trHeight w:val="300"/>
          <w:jc w:val="center"/>
        </w:trPr>
        <w:tc>
          <w:tcPr>
            <w:tcW w:w="1037" w:type="pct"/>
            <w:tcBorders>
              <w:top w:val="single" w:sz="12" w:space="0" w:color="808080"/>
              <w:left w:val="nil"/>
              <w:bottom w:val="single" w:sz="6" w:space="0" w:color="808080"/>
              <w:right w:val="nil"/>
            </w:tcBorders>
            <w:vAlign w:val="bottom"/>
          </w:tcPr>
          <w:p w14:paraId="4C3A926C" w14:textId="4537DBF4" w:rsidR="009D7E9D" w:rsidRPr="004943CE" w:rsidRDefault="009D7E9D" w:rsidP="005844A7">
            <w:pPr>
              <w:spacing w:before="80"/>
              <w:rPr>
                <w:szCs w:val="24"/>
              </w:rPr>
            </w:pPr>
            <w:r w:rsidRPr="0041442B">
              <w:rPr>
                <w:b/>
                <w:bCs/>
                <w:color w:val="000000"/>
                <w:sz w:val="22"/>
                <w:szCs w:val="22"/>
                <w:lang w:val="en-GB" w:eastAsia="en-GB"/>
              </w:rPr>
              <w:t>UN Sub Region</w:t>
            </w:r>
          </w:p>
        </w:tc>
        <w:tc>
          <w:tcPr>
            <w:tcW w:w="495" w:type="pct"/>
            <w:tcBorders>
              <w:top w:val="single" w:sz="12" w:space="0" w:color="808080"/>
              <w:left w:val="nil"/>
              <w:bottom w:val="single" w:sz="6" w:space="0" w:color="808080"/>
              <w:right w:val="nil"/>
            </w:tcBorders>
            <w:vAlign w:val="bottom"/>
          </w:tcPr>
          <w:p w14:paraId="7E1021E8" w14:textId="0AFE076B" w:rsidR="009D7E9D" w:rsidRPr="004943CE" w:rsidRDefault="009D7E9D" w:rsidP="005844A7">
            <w:pPr>
              <w:spacing w:before="80"/>
              <w:rPr>
                <w:szCs w:val="24"/>
              </w:rPr>
            </w:pPr>
            <w:r w:rsidRPr="0041442B">
              <w:rPr>
                <w:b/>
                <w:bCs/>
                <w:color w:val="000000"/>
                <w:sz w:val="22"/>
                <w:szCs w:val="22"/>
                <w:lang w:val="en-GB" w:eastAsia="en-GB"/>
              </w:rPr>
              <w:t>Pig</w:t>
            </w:r>
          </w:p>
        </w:tc>
        <w:tc>
          <w:tcPr>
            <w:tcW w:w="496" w:type="pct"/>
            <w:tcBorders>
              <w:top w:val="single" w:sz="12" w:space="0" w:color="808080"/>
              <w:left w:val="nil"/>
              <w:bottom w:val="single" w:sz="6" w:space="0" w:color="808080"/>
              <w:right w:val="nil"/>
            </w:tcBorders>
            <w:vAlign w:val="bottom"/>
          </w:tcPr>
          <w:p w14:paraId="4BF1B7F8" w14:textId="4E6F5D4D" w:rsidR="009D7E9D" w:rsidRPr="004943CE" w:rsidRDefault="009D7E9D" w:rsidP="005844A7">
            <w:pPr>
              <w:spacing w:before="80"/>
              <w:rPr>
                <w:szCs w:val="24"/>
              </w:rPr>
            </w:pPr>
            <w:r w:rsidRPr="0041442B">
              <w:rPr>
                <w:b/>
                <w:bCs/>
                <w:color w:val="000000"/>
                <w:sz w:val="22"/>
                <w:szCs w:val="22"/>
                <w:lang w:val="en-GB" w:eastAsia="en-GB"/>
              </w:rPr>
              <w:t>Deer</w:t>
            </w:r>
          </w:p>
        </w:tc>
        <w:tc>
          <w:tcPr>
            <w:tcW w:w="495" w:type="pct"/>
            <w:tcBorders>
              <w:top w:val="single" w:sz="12" w:space="0" w:color="808080"/>
              <w:left w:val="nil"/>
              <w:bottom w:val="single" w:sz="6" w:space="0" w:color="808080"/>
              <w:right w:val="nil"/>
            </w:tcBorders>
            <w:vAlign w:val="bottom"/>
          </w:tcPr>
          <w:p w14:paraId="0F52428D" w14:textId="215B2D1D" w:rsidR="009D7E9D" w:rsidRPr="004943CE" w:rsidRDefault="009D7E9D" w:rsidP="005844A7">
            <w:pPr>
              <w:spacing w:before="80"/>
              <w:rPr>
                <w:szCs w:val="24"/>
              </w:rPr>
            </w:pPr>
            <w:r w:rsidRPr="0041442B">
              <w:rPr>
                <w:b/>
                <w:bCs/>
                <w:color w:val="000000"/>
                <w:sz w:val="22"/>
                <w:szCs w:val="22"/>
                <w:lang w:val="en-GB" w:eastAsia="en-GB"/>
              </w:rPr>
              <w:t>Cattle</w:t>
            </w:r>
          </w:p>
        </w:tc>
        <w:tc>
          <w:tcPr>
            <w:tcW w:w="496" w:type="pct"/>
            <w:tcBorders>
              <w:top w:val="single" w:sz="12" w:space="0" w:color="808080"/>
              <w:left w:val="nil"/>
              <w:bottom w:val="single" w:sz="6" w:space="0" w:color="808080"/>
              <w:right w:val="nil"/>
            </w:tcBorders>
            <w:vAlign w:val="bottom"/>
          </w:tcPr>
          <w:p w14:paraId="61CFDEBB" w14:textId="41DE78B8" w:rsidR="009D7E9D" w:rsidRPr="004943CE" w:rsidRDefault="009D7E9D" w:rsidP="005844A7">
            <w:pPr>
              <w:spacing w:before="80"/>
              <w:rPr>
                <w:szCs w:val="24"/>
              </w:rPr>
            </w:pPr>
            <w:r w:rsidRPr="0041442B">
              <w:rPr>
                <w:b/>
                <w:bCs/>
                <w:color w:val="000000"/>
                <w:sz w:val="22"/>
                <w:szCs w:val="22"/>
                <w:lang w:val="en-GB" w:eastAsia="en-GB"/>
              </w:rPr>
              <w:t>Sheep</w:t>
            </w:r>
          </w:p>
        </w:tc>
        <w:tc>
          <w:tcPr>
            <w:tcW w:w="496" w:type="pct"/>
            <w:tcBorders>
              <w:top w:val="single" w:sz="12" w:space="0" w:color="808080"/>
              <w:left w:val="nil"/>
              <w:bottom w:val="single" w:sz="6" w:space="0" w:color="808080"/>
              <w:right w:val="nil"/>
            </w:tcBorders>
            <w:vAlign w:val="bottom"/>
          </w:tcPr>
          <w:p w14:paraId="7EA09F05" w14:textId="0EC9F3C1" w:rsidR="009D7E9D" w:rsidRPr="004943CE" w:rsidRDefault="009D7E9D" w:rsidP="005844A7">
            <w:pPr>
              <w:spacing w:before="80"/>
              <w:rPr>
                <w:szCs w:val="24"/>
              </w:rPr>
            </w:pPr>
            <w:r w:rsidRPr="0041442B">
              <w:rPr>
                <w:b/>
                <w:bCs/>
                <w:color w:val="000000"/>
                <w:sz w:val="22"/>
                <w:szCs w:val="22"/>
                <w:lang w:val="en-GB" w:eastAsia="en-GB"/>
              </w:rPr>
              <w:t>Goat</w:t>
            </w:r>
          </w:p>
        </w:tc>
        <w:tc>
          <w:tcPr>
            <w:tcW w:w="495" w:type="pct"/>
            <w:tcBorders>
              <w:top w:val="single" w:sz="12" w:space="0" w:color="808080"/>
              <w:left w:val="nil"/>
              <w:bottom w:val="single" w:sz="6" w:space="0" w:color="808080"/>
              <w:right w:val="nil"/>
            </w:tcBorders>
            <w:vAlign w:val="bottom"/>
          </w:tcPr>
          <w:p w14:paraId="63B34030" w14:textId="7498DC79" w:rsidR="009D7E9D" w:rsidRPr="004943CE" w:rsidRDefault="009D7E9D" w:rsidP="005844A7">
            <w:pPr>
              <w:spacing w:before="80"/>
              <w:rPr>
                <w:szCs w:val="24"/>
              </w:rPr>
            </w:pPr>
            <w:r w:rsidRPr="0041442B">
              <w:rPr>
                <w:b/>
                <w:bCs/>
                <w:color w:val="000000"/>
                <w:sz w:val="22"/>
                <w:szCs w:val="22"/>
                <w:lang w:val="en-GB" w:eastAsia="en-GB"/>
              </w:rPr>
              <w:t>Cat</w:t>
            </w:r>
          </w:p>
        </w:tc>
        <w:tc>
          <w:tcPr>
            <w:tcW w:w="496" w:type="pct"/>
            <w:tcBorders>
              <w:top w:val="single" w:sz="12" w:space="0" w:color="808080"/>
              <w:left w:val="nil"/>
              <w:bottom w:val="single" w:sz="6" w:space="0" w:color="808080"/>
              <w:right w:val="nil"/>
            </w:tcBorders>
            <w:vAlign w:val="bottom"/>
          </w:tcPr>
          <w:p w14:paraId="6EB25098" w14:textId="274EF1FD" w:rsidR="009D7E9D" w:rsidRPr="004943CE" w:rsidRDefault="009D7E9D" w:rsidP="005844A7">
            <w:pPr>
              <w:spacing w:before="80"/>
              <w:rPr>
                <w:szCs w:val="24"/>
              </w:rPr>
            </w:pPr>
            <w:r w:rsidRPr="0041442B">
              <w:rPr>
                <w:b/>
                <w:bCs/>
                <w:color w:val="000000"/>
                <w:sz w:val="22"/>
                <w:szCs w:val="22"/>
                <w:lang w:val="en-GB" w:eastAsia="en-GB"/>
              </w:rPr>
              <w:t>Dog</w:t>
            </w:r>
          </w:p>
        </w:tc>
        <w:tc>
          <w:tcPr>
            <w:tcW w:w="496" w:type="pct"/>
            <w:tcBorders>
              <w:top w:val="single" w:sz="12" w:space="0" w:color="808080"/>
              <w:left w:val="nil"/>
              <w:bottom w:val="single" w:sz="6" w:space="0" w:color="808080"/>
              <w:right w:val="nil"/>
            </w:tcBorders>
            <w:vAlign w:val="bottom"/>
          </w:tcPr>
          <w:p w14:paraId="49CACB48" w14:textId="1AA63D45" w:rsidR="009D7E9D" w:rsidRPr="004943CE" w:rsidRDefault="009D7E9D" w:rsidP="005844A7">
            <w:pPr>
              <w:spacing w:before="80"/>
              <w:rPr>
                <w:szCs w:val="24"/>
              </w:rPr>
            </w:pPr>
            <w:r w:rsidRPr="0041442B">
              <w:rPr>
                <w:b/>
                <w:bCs/>
                <w:color w:val="000000"/>
                <w:sz w:val="22"/>
                <w:szCs w:val="22"/>
                <w:lang w:val="en-GB" w:eastAsia="en-GB"/>
              </w:rPr>
              <w:t>Buffalo</w:t>
            </w:r>
          </w:p>
        </w:tc>
      </w:tr>
      <w:tr w:rsidR="009D7E9D" w:rsidRPr="004943CE" w14:paraId="0D54FDD9" w14:textId="31AB3484" w:rsidTr="00D82F64">
        <w:trPr>
          <w:trHeight w:val="300"/>
          <w:jc w:val="center"/>
        </w:trPr>
        <w:tc>
          <w:tcPr>
            <w:tcW w:w="1037" w:type="pct"/>
            <w:tcBorders>
              <w:top w:val="nil"/>
              <w:left w:val="nil"/>
              <w:bottom w:val="nil"/>
              <w:right w:val="nil"/>
            </w:tcBorders>
            <w:vAlign w:val="bottom"/>
          </w:tcPr>
          <w:p w14:paraId="49C459BD" w14:textId="6E83D251" w:rsidR="009D7E9D" w:rsidRPr="004943CE" w:rsidRDefault="009D7E9D" w:rsidP="005844A7">
            <w:pPr>
              <w:spacing w:before="40"/>
              <w:rPr>
                <w:szCs w:val="24"/>
              </w:rPr>
            </w:pPr>
            <w:r w:rsidRPr="0041442B">
              <w:rPr>
                <w:color w:val="000000"/>
                <w:sz w:val="22"/>
                <w:szCs w:val="22"/>
                <w:lang w:val="en-GB" w:eastAsia="en-GB"/>
              </w:rPr>
              <w:t>South America</w:t>
            </w:r>
          </w:p>
        </w:tc>
        <w:tc>
          <w:tcPr>
            <w:tcW w:w="495" w:type="pct"/>
            <w:tcBorders>
              <w:top w:val="nil"/>
              <w:left w:val="nil"/>
              <w:bottom w:val="nil"/>
              <w:right w:val="nil"/>
            </w:tcBorders>
            <w:vAlign w:val="bottom"/>
          </w:tcPr>
          <w:p w14:paraId="0CB38759" w14:textId="52287139" w:rsidR="009D7E9D" w:rsidRPr="004943CE" w:rsidRDefault="009D7E9D" w:rsidP="005844A7">
            <w:pPr>
              <w:spacing w:before="40"/>
              <w:rPr>
                <w:szCs w:val="24"/>
              </w:rPr>
            </w:pPr>
            <w:r w:rsidRPr="0041442B">
              <w:rPr>
                <w:color w:val="000000"/>
                <w:sz w:val="22"/>
                <w:szCs w:val="22"/>
                <w:lang w:val="en-GB" w:eastAsia="en-GB"/>
              </w:rPr>
              <w:t>29%</w:t>
            </w:r>
          </w:p>
        </w:tc>
        <w:tc>
          <w:tcPr>
            <w:tcW w:w="496" w:type="pct"/>
            <w:tcBorders>
              <w:top w:val="nil"/>
              <w:left w:val="nil"/>
              <w:bottom w:val="nil"/>
              <w:right w:val="nil"/>
            </w:tcBorders>
            <w:vAlign w:val="bottom"/>
          </w:tcPr>
          <w:p w14:paraId="5E5C1315" w14:textId="748C8506"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4E4D1448" w14:textId="4DD837E8" w:rsidR="009D7E9D" w:rsidRPr="004943CE" w:rsidRDefault="009D7E9D" w:rsidP="005844A7">
            <w:pPr>
              <w:spacing w:before="40"/>
              <w:rPr>
                <w:szCs w:val="24"/>
              </w:rPr>
            </w:pPr>
            <w:r w:rsidRPr="0041442B">
              <w:rPr>
                <w:color w:val="000000"/>
                <w:sz w:val="22"/>
                <w:szCs w:val="22"/>
                <w:lang w:val="en-GB" w:eastAsia="en-GB"/>
              </w:rPr>
              <w:t>64%</w:t>
            </w:r>
          </w:p>
        </w:tc>
        <w:tc>
          <w:tcPr>
            <w:tcW w:w="496" w:type="pct"/>
            <w:tcBorders>
              <w:top w:val="nil"/>
              <w:left w:val="nil"/>
              <w:bottom w:val="nil"/>
              <w:right w:val="nil"/>
            </w:tcBorders>
            <w:vAlign w:val="bottom"/>
          </w:tcPr>
          <w:p w14:paraId="7E0FDDF4" w14:textId="7AE59B5D" w:rsidR="009D7E9D" w:rsidRPr="004943CE" w:rsidRDefault="009D7E9D" w:rsidP="005844A7">
            <w:pPr>
              <w:spacing w:before="40"/>
              <w:rPr>
                <w:szCs w:val="24"/>
              </w:rPr>
            </w:pPr>
            <w:r w:rsidRPr="0041442B">
              <w:rPr>
                <w:color w:val="000000"/>
                <w:sz w:val="22"/>
                <w:szCs w:val="22"/>
                <w:lang w:val="en-GB" w:eastAsia="en-GB"/>
              </w:rPr>
              <w:t>29%</w:t>
            </w:r>
          </w:p>
        </w:tc>
        <w:tc>
          <w:tcPr>
            <w:tcW w:w="496" w:type="pct"/>
            <w:tcBorders>
              <w:top w:val="nil"/>
              <w:left w:val="nil"/>
              <w:bottom w:val="nil"/>
              <w:right w:val="nil"/>
            </w:tcBorders>
            <w:vAlign w:val="bottom"/>
          </w:tcPr>
          <w:p w14:paraId="41C2C4A3" w14:textId="5586480E" w:rsidR="009D7E9D" w:rsidRPr="004943CE" w:rsidRDefault="009D7E9D" w:rsidP="005844A7">
            <w:pPr>
              <w:spacing w:before="40"/>
              <w:rPr>
                <w:szCs w:val="24"/>
              </w:rPr>
            </w:pPr>
            <w:r w:rsidRPr="0041442B">
              <w:rPr>
                <w:color w:val="000000"/>
                <w:sz w:val="22"/>
                <w:szCs w:val="22"/>
                <w:lang w:val="en-GB" w:eastAsia="en-GB"/>
              </w:rPr>
              <w:t>21%</w:t>
            </w:r>
          </w:p>
        </w:tc>
        <w:tc>
          <w:tcPr>
            <w:tcW w:w="495" w:type="pct"/>
            <w:tcBorders>
              <w:top w:val="nil"/>
              <w:left w:val="nil"/>
              <w:bottom w:val="nil"/>
              <w:right w:val="nil"/>
            </w:tcBorders>
            <w:vAlign w:val="bottom"/>
          </w:tcPr>
          <w:p w14:paraId="100A7BAE" w14:textId="1B8711F0" w:rsidR="009D7E9D" w:rsidRPr="004943CE" w:rsidRDefault="009D7E9D" w:rsidP="005844A7">
            <w:pPr>
              <w:spacing w:before="40"/>
              <w:rPr>
                <w:szCs w:val="24"/>
              </w:rPr>
            </w:pPr>
            <w:r w:rsidRPr="0041442B">
              <w:rPr>
                <w:color w:val="000000"/>
                <w:sz w:val="22"/>
                <w:szCs w:val="22"/>
                <w:lang w:val="en-GB" w:eastAsia="en-GB"/>
              </w:rPr>
              <w:t>29%</w:t>
            </w:r>
          </w:p>
        </w:tc>
        <w:tc>
          <w:tcPr>
            <w:tcW w:w="496" w:type="pct"/>
            <w:tcBorders>
              <w:top w:val="nil"/>
              <w:left w:val="nil"/>
              <w:bottom w:val="nil"/>
              <w:right w:val="nil"/>
            </w:tcBorders>
            <w:vAlign w:val="bottom"/>
          </w:tcPr>
          <w:p w14:paraId="7D377FE0" w14:textId="27C7D74A" w:rsidR="009D7E9D" w:rsidRPr="004943CE" w:rsidRDefault="009D7E9D" w:rsidP="005844A7">
            <w:pPr>
              <w:spacing w:before="40"/>
              <w:rPr>
                <w:szCs w:val="24"/>
              </w:rPr>
            </w:pPr>
            <w:r w:rsidRPr="0041442B">
              <w:rPr>
                <w:color w:val="000000"/>
                <w:sz w:val="22"/>
                <w:szCs w:val="22"/>
                <w:lang w:val="en-GB" w:eastAsia="en-GB"/>
              </w:rPr>
              <w:t>29%</w:t>
            </w:r>
          </w:p>
        </w:tc>
        <w:tc>
          <w:tcPr>
            <w:tcW w:w="496" w:type="pct"/>
            <w:tcBorders>
              <w:top w:val="nil"/>
              <w:left w:val="nil"/>
              <w:bottom w:val="nil"/>
              <w:right w:val="nil"/>
            </w:tcBorders>
            <w:vAlign w:val="bottom"/>
          </w:tcPr>
          <w:p w14:paraId="5531A105" w14:textId="389B0714" w:rsidR="009D7E9D" w:rsidRPr="004943CE" w:rsidRDefault="009D7E9D" w:rsidP="005844A7">
            <w:pPr>
              <w:spacing w:before="40"/>
              <w:rPr>
                <w:szCs w:val="24"/>
              </w:rPr>
            </w:pPr>
            <w:r w:rsidRPr="0041442B">
              <w:rPr>
                <w:color w:val="000000"/>
                <w:sz w:val="22"/>
                <w:szCs w:val="22"/>
                <w:lang w:val="en-GB" w:eastAsia="en-GB"/>
              </w:rPr>
              <w:t>14%</w:t>
            </w:r>
          </w:p>
        </w:tc>
      </w:tr>
      <w:tr w:rsidR="009D7E9D" w:rsidRPr="004943CE" w14:paraId="0A6539CC" w14:textId="6BFB2530" w:rsidTr="009D7E9D">
        <w:trPr>
          <w:trHeight w:val="300"/>
          <w:jc w:val="center"/>
        </w:trPr>
        <w:tc>
          <w:tcPr>
            <w:tcW w:w="1037" w:type="pct"/>
            <w:tcBorders>
              <w:top w:val="nil"/>
              <w:left w:val="nil"/>
              <w:bottom w:val="nil"/>
              <w:right w:val="nil"/>
            </w:tcBorders>
            <w:vAlign w:val="bottom"/>
          </w:tcPr>
          <w:p w14:paraId="109B32EB" w14:textId="2E6B51E6" w:rsidR="009D7E9D" w:rsidRPr="004943CE" w:rsidRDefault="009D7E9D" w:rsidP="005844A7">
            <w:pPr>
              <w:spacing w:before="40"/>
              <w:rPr>
                <w:szCs w:val="24"/>
              </w:rPr>
            </w:pPr>
            <w:r w:rsidRPr="0041442B">
              <w:rPr>
                <w:color w:val="000000"/>
                <w:sz w:val="22"/>
                <w:szCs w:val="22"/>
                <w:lang w:val="en-GB" w:eastAsia="en-GB"/>
              </w:rPr>
              <w:t>Western Africa</w:t>
            </w:r>
          </w:p>
        </w:tc>
        <w:tc>
          <w:tcPr>
            <w:tcW w:w="495" w:type="pct"/>
            <w:tcBorders>
              <w:top w:val="nil"/>
              <w:left w:val="nil"/>
              <w:bottom w:val="nil"/>
              <w:right w:val="nil"/>
            </w:tcBorders>
            <w:vAlign w:val="bottom"/>
          </w:tcPr>
          <w:p w14:paraId="2CFD26FB" w14:textId="6631B0E8"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06CD3B36" w14:textId="1B5C91A5"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2AF70069" w14:textId="494C26DB" w:rsidR="009D7E9D" w:rsidRPr="004943CE" w:rsidRDefault="009D7E9D" w:rsidP="005844A7">
            <w:pPr>
              <w:spacing w:before="40"/>
              <w:rPr>
                <w:szCs w:val="24"/>
              </w:rPr>
            </w:pPr>
            <w:r w:rsidRPr="0041442B">
              <w:rPr>
                <w:color w:val="000000"/>
                <w:sz w:val="22"/>
                <w:szCs w:val="22"/>
                <w:lang w:val="en-GB" w:eastAsia="en-GB"/>
              </w:rPr>
              <w:t>38%</w:t>
            </w:r>
          </w:p>
        </w:tc>
        <w:tc>
          <w:tcPr>
            <w:tcW w:w="496" w:type="pct"/>
            <w:tcBorders>
              <w:top w:val="nil"/>
              <w:left w:val="nil"/>
              <w:bottom w:val="nil"/>
              <w:right w:val="nil"/>
            </w:tcBorders>
            <w:vAlign w:val="bottom"/>
          </w:tcPr>
          <w:p w14:paraId="60D7936F" w14:textId="097B7714" w:rsidR="009D7E9D" w:rsidRPr="004943CE" w:rsidRDefault="009D7E9D" w:rsidP="005844A7">
            <w:pPr>
              <w:spacing w:before="40"/>
              <w:rPr>
                <w:szCs w:val="24"/>
              </w:rPr>
            </w:pPr>
            <w:r w:rsidRPr="0041442B">
              <w:rPr>
                <w:color w:val="000000"/>
                <w:sz w:val="22"/>
                <w:szCs w:val="22"/>
                <w:lang w:val="en-GB" w:eastAsia="en-GB"/>
              </w:rPr>
              <w:t>6%</w:t>
            </w:r>
          </w:p>
        </w:tc>
        <w:tc>
          <w:tcPr>
            <w:tcW w:w="496" w:type="pct"/>
            <w:tcBorders>
              <w:top w:val="nil"/>
              <w:left w:val="nil"/>
              <w:bottom w:val="nil"/>
              <w:right w:val="nil"/>
            </w:tcBorders>
            <w:vAlign w:val="bottom"/>
          </w:tcPr>
          <w:p w14:paraId="493FFA9E" w14:textId="6093F3BC" w:rsidR="009D7E9D" w:rsidRPr="004943CE" w:rsidRDefault="009D7E9D" w:rsidP="005844A7">
            <w:pPr>
              <w:spacing w:before="40"/>
              <w:rPr>
                <w:szCs w:val="24"/>
              </w:rPr>
            </w:pPr>
            <w:r w:rsidRPr="0041442B">
              <w:rPr>
                <w:color w:val="000000"/>
                <w:sz w:val="22"/>
                <w:szCs w:val="22"/>
                <w:lang w:val="en-GB" w:eastAsia="en-GB"/>
              </w:rPr>
              <w:t>6%</w:t>
            </w:r>
          </w:p>
        </w:tc>
        <w:tc>
          <w:tcPr>
            <w:tcW w:w="495" w:type="pct"/>
            <w:tcBorders>
              <w:top w:val="nil"/>
              <w:left w:val="nil"/>
              <w:bottom w:val="nil"/>
              <w:right w:val="nil"/>
            </w:tcBorders>
            <w:vAlign w:val="bottom"/>
          </w:tcPr>
          <w:p w14:paraId="1CCEA39E" w14:textId="26FA595A" w:rsidR="009D7E9D" w:rsidRPr="004943CE" w:rsidRDefault="009D7E9D" w:rsidP="005844A7">
            <w:pPr>
              <w:spacing w:before="40"/>
              <w:rPr>
                <w:szCs w:val="24"/>
              </w:rPr>
            </w:pPr>
            <w:r w:rsidRPr="0041442B">
              <w:rPr>
                <w:color w:val="000000"/>
                <w:sz w:val="22"/>
                <w:szCs w:val="22"/>
                <w:lang w:val="en-GB" w:eastAsia="en-GB"/>
              </w:rPr>
              <w:t>6%</w:t>
            </w:r>
          </w:p>
        </w:tc>
        <w:tc>
          <w:tcPr>
            <w:tcW w:w="496" w:type="pct"/>
            <w:tcBorders>
              <w:top w:val="nil"/>
              <w:left w:val="nil"/>
              <w:bottom w:val="nil"/>
              <w:right w:val="nil"/>
            </w:tcBorders>
            <w:vAlign w:val="bottom"/>
          </w:tcPr>
          <w:p w14:paraId="3E679D92" w14:textId="6D42944E" w:rsidR="009D7E9D" w:rsidRPr="004943CE" w:rsidRDefault="009D7E9D" w:rsidP="005844A7">
            <w:pPr>
              <w:spacing w:before="40"/>
              <w:rPr>
                <w:szCs w:val="24"/>
              </w:rPr>
            </w:pPr>
            <w:r w:rsidRPr="0041442B">
              <w:rPr>
                <w:color w:val="000000"/>
                <w:sz w:val="22"/>
                <w:szCs w:val="22"/>
                <w:lang w:val="en-GB" w:eastAsia="en-GB"/>
              </w:rPr>
              <w:t>75%</w:t>
            </w:r>
          </w:p>
        </w:tc>
        <w:tc>
          <w:tcPr>
            <w:tcW w:w="496" w:type="pct"/>
            <w:tcBorders>
              <w:top w:val="nil"/>
              <w:left w:val="nil"/>
              <w:bottom w:val="nil"/>
              <w:right w:val="nil"/>
            </w:tcBorders>
            <w:vAlign w:val="bottom"/>
          </w:tcPr>
          <w:p w14:paraId="2814B438" w14:textId="2E406089"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2F6346AC" w14:textId="77777777" w:rsidTr="00D82F64">
        <w:trPr>
          <w:trHeight w:val="300"/>
          <w:jc w:val="center"/>
        </w:trPr>
        <w:tc>
          <w:tcPr>
            <w:tcW w:w="1037" w:type="pct"/>
            <w:tcBorders>
              <w:top w:val="nil"/>
              <w:left w:val="nil"/>
              <w:bottom w:val="nil"/>
              <w:right w:val="nil"/>
            </w:tcBorders>
            <w:vAlign w:val="bottom"/>
          </w:tcPr>
          <w:p w14:paraId="67C968B4" w14:textId="76C42655" w:rsidR="009D7E9D" w:rsidRPr="004943CE" w:rsidRDefault="009D7E9D" w:rsidP="005844A7">
            <w:pPr>
              <w:spacing w:before="40"/>
              <w:rPr>
                <w:szCs w:val="24"/>
              </w:rPr>
            </w:pPr>
            <w:r w:rsidRPr="0041442B">
              <w:rPr>
                <w:color w:val="000000"/>
                <w:sz w:val="22"/>
                <w:szCs w:val="22"/>
                <w:lang w:val="en-GB" w:eastAsia="en-GB"/>
              </w:rPr>
              <w:t>Central America</w:t>
            </w:r>
          </w:p>
        </w:tc>
        <w:tc>
          <w:tcPr>
            <w:tcW w:w="495" w:type="pct"/>
            <w:tcBorders>
              <w:top w:val="nil"/>
              <w:left w:val="nil"/>
              <w:bottom w:val="nil"/>
              <w:right w:val="nil"/>
            </w:tcBorders>
            <w:vAlign w:val="bottom"/>
          </w:tcPr>
          <w:p w14:paraId="34C2B515" w14:textId="5DFF7E6B" w:rsidR="009D7E9D" w:rsidRPr="004943CE" w:rsidRDefault="009D7E9D" w:rsidP="005844A7">
            <w:pPr>
              <w:spacing w:before="40"/>
              <w:rPr>
                <w:szCs w:val="24"/>
              </w:rPr>
            </w:pPr>
            <w:r w:rsidRPr="0041442B">
              <w:rPr>
                <w:color w:val="000000"/>
                <w:sz w:val="22"/>
                <w:szCs w:val="22"/>
                <w:lang w:val="en-GB" w:eastAsia="en-GB"/>
              </w:rPr>
              <w:t>38%</w:t>
            </w:r>
          </w:p>
        </w:tc>
        <w:tc>
          <w:tcPr>
            <w:tcW w:w="496" w:type="pct"/>
            <w:tcBorders>
              <w:top w:val="nil"/>
              <w:left w:val="nil"/>
              <w:bottom w:val="nil"/>
              <w:right w:val="nil"/>
            </w:tcBorders>
            <w:vAlign w:val="bottom"/>
          </w:tcPr>
          <w:p w14:paraId="2CA9AB7D" w14:textId="2DA1AC29"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0424B17B" w14:textId="2E5659D7"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0EB971B6" w14:textId="41C168BE" w:rsidR="009D7E9D" w:rsidRPr="004943CE" w:rsidRDefault="009D7E9D" w:rsidP="005844A7">
            <w:pPr>
              <w:spacing w:before="40"/>
              <w:rPr>
                <w:szCs w:val="24"/>
              </w:rPr>
            </w:pPr>
            <w:r w:rsidRPr="0041442B">
              <w:rPr>
                <w:color w:val="000000"/>
                <w:sz w:val="22"/>
                <w:szCs w:val="22"/>
                <w:lang w:val="en-GB" w:eastAsia="en-GB"/>
              </w:rPr>
              <w:t>38%</w:t>
            </w:r>
          </w:p>
        </w:tc>
        <w:tc>
          <w:tcPr>
            <w:tcW w:w="496" w:type="pct"/>
            <w:tcBorders>
              <w:top w:val="nil"/>
              <w:left w:val="nil"/>
              <w:bottom w:val="nil"/>
              <w:right w:val="nil"/>
            </w:tcBorders>
            <w:vAlign w:val="bottom"/>
          </w:tcPr>
          <w:p w14:paraId="7B4C052A" w14:textId="33DC207C" w:rsidR="009D7E9D" w:rsidRPr="004943CE" w:rsidRDefault="009D7E9D" w:rsidP="005844A7">
            <w:pPr>
              <w:spacing w:before="40"/>
              <w:rPr>
                <w:szCs w:val="24"/>
              </w:rPr>
            </w:pPr>
            <w:r w:rsidRPr="0041442B">
              <w:rPr>
                <w:color w:val="000000"/>
                <w:sz w:val="22"/>
                <w:szCs w:val="22"/>
                <w:lang w:val="en-GB" w:eastAsia="en-GB"/>
              </w:rPr>
              <w:t>38%</w:t>
            </w:r>
          </w:p>
        </w:tc>
        <w:tc>
          <w:tcPr>
            <w:tcW w:w="495" w:type="pct"/>
            <w:tcBorders>
              <w:top w:val="nil"/>
              <w:left w:val="nil"/>
              <w:bottom w:val="nil"/>
              <w:right w:val="nil"/>
            </w:tcBorders>
            <w:vAlign w:val="bottom"/>
          </w:tcPr>
          <w:p w14:paraId="2E6F2959" w14:textId="1ED6F843" w:rsidR="009D7E9D" w:rsidRPr="004943CE" w:rsidRDefault="009D7E9D" w:rsidP="005844A7">
            <w:pPr>
              <w:spacing w:before="40"/>
              <w:rPr>
                <w:szCs w:val="24"/>
              </w:rPr>
            </w:pPr>
            <w:r w:rsidRPr="0041442B">
              <w:rPr>
                <w:color w:val="000000"/>
                <w:sz w:val="22"/>
                <w:szCs w:val="22"/>
                <w:lang w:val="en-GB" w:eastAsia="en-GB"/>
              </w:rPr>
              <w:t>50%</w:t>
            </w:r>
          </w:p>
        </w:tc>
        <w:tc>
          <w:tcPr>
            <w:tcW w:w="496" w:type="pct"/>
            <w:tcBorders>
              <w:top w:val="nil"/>
              <w:left w:val="nil"/>
              <w:bottom w:val="nil"/>
              <w:right w:val="nil"/>
            </w:tcBorders>
            <w:vAlign w:val="bottom"/>
          </w:tcPr>
          <w:p w14:paraId="7992165E" w14:textId="37FED332" w:rsidR="009D7E9D" w:rsidRPr="004943CE" w:rsidRDefault="009D7E9D" w:rsidP="005844A7">
            <w:pPr>
              <w:spacing w:before="40"/>
              <w:rPr>
                <w:szCs w:val="24"/>
              </w:rPr>
            </w:pPr>
            <w:r w:rsidRPr="0041442B">
              <w:rPr>
                <w:color w:val="000000"/>
                <w:sz w:val="22"/>
                <w:szCs w:val="22"/>
                <w:lang w:val="en-GB" w:eastAsia="en-GB"/>
              </w:rPr>
              <w:t>63%</w:t>
            </w:r>
          </w:p>
        </w:tc>
        <w:tc>
          <w:tcPr>
            <w:tcW w:w="496" w:type="pct"/>
            <w:tcBorders>
              <w:top w:val="nil"/>
              <w:left w:val="nil"/>
              <w:bottom w:val="nil"/>
              <w:right w:val="nil"/>
            </w:tcBorders>
            <w:vAlign w:val="bottom"/>
          </w:tcPr>
          <w:p w14:paraId="74710896" w14:textId="45F8E920" w:rsidR="009D7E9D" w:rsidRPr="004943CE" w:rsidRDefault="009D7E9D" w:rsidP="005844A7">
            <w:pPr>
              <w:spacing w:before="40"/>
              <w:rPr>
                <w:szCs w:val="24"/>
              </w:rPr>
            </w:pPr>
            <w:r w:rsidRPr="0041442B">
              <w:rPr>
                <w:color w:val="000000"/>
                <w:sz w:val="22"/>
                <w:szCs w:val="22"/>
                <w:lang w:val="en-GB" w:eastAsia="en-GB"/>
              </w:rPr>
              <w:t>25%</w:t>
            </w:r>
          </w:p>
        </w:tc>
      </w:tr>
      <w:tr w:rsidR="009D7E9D" w:rsidRPr="004943CE" w14:paraId="4D4E2F33" w14:textId="77777777" w:rsidTr="00D82F64">
        <w:trPr>
          <w:trHeight w:val="300"/>
          <w:jc w:val="center"/>
        </w:trPr>
        <w:tc>
          <w:tcPr>
            <w:tcW w:w="1037" w:type="pct"/>
            <w:tcBorders>
              <w:top w:val="nil"/>
              <w:left w:val="nil"/>
              <w:bottom w:val="nil"/>
              <w:right w:val="nil"/>
            </w:tcBorders>
            <w:vAlign w:val="bottom"/>
          </w:tcPr>
          <w:p w14:paraId="0E9B08C8" w14:textId="791440CC" w:rsidR="009D7E9D" w:rsidRPr="004943CE" w:rsidRDefault="009D7E9D" w:rsidP="005844A7">
            <w:pPr>
              <w:spacing w:before="40"/>
              <w:rPr>
                <w:szCs w:val="24"/>
              </w:rPr>
            </w:pPr>
            <w:r w:rsidRPr="0041442B">
              <w:rPr>
                <w:color w:val="000000"/>
                <w:sz w:val="22"/>
                <w:szCs w:val="22"/>
                <w:lang w:val="en-GB" w:eastAsia="en-GB"/>
              </w:rPr>
              <w:t>Eastern Africa</w:t>
            </w:r>
          </w:p>
        </w:tc>
        <w:tc>
          <w:tcPr>
            <w:tcW w:w="495" w:type="pct"/>
            <w:tcBorders>
              <w:top w:val="nil"/>
              <w:left w:val="nil"/>
              <w:bottom w:val="nil"/>
              <w:right w:val="nil"/>
            </w:tcBorders>
            <w:vAlign w:val="bottom"/>
          </w:tcPr>
          <w:p w14:paraId="6CACA164" w14:textId="1906B997" w:rsidR="009D7E9D" w:rsidRPr="004943CE" w:rsidRDefault="009D7E9D" w:rsidP="005844A7">
            <w:pPr>
              <w:spacing w:before="40"/>
              <w:rPr>
                <w:szCs w:val="24"/>
              </w:rPr>
            </w:pPr>
            <w:r w:rsidRPr="0041442B">
              <w:rPr>
                <w:color w:val="000000"/>
                <w:sz w:val="22"/>
                <w:szCs w:val="22"/>
                <w:lang w:val="en-GB" w:eastAsia="en-GB"/>
              </w:rPr>
              <w:t>11%</w:t>
            </w:r>
          </w:p>
        </w:tc>
        <w:tc>
          <w:tcPr>
            <w:tcW w:w="496" w:type="pct"/>
            <w:tcBorders>
              <w:top w:val="nil"/>
              <w:left w:val="nil"/>
              <w:bottom w:val="nil"/>
              <w:right w:val="nil"/>
            </w:tcBorders>
            <w:vAlign w:val="bottom"/>
          </w:tcPr>
          <w:p w14:paraId="35B87722" w14:textId="320A837D"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00BF2C4C" w14:textId="58631DA3" w:rsidR="009D7E9D" w:rsidRPr="004943CE" w:rsidRDefault="009D7E9D" w:rsidP="005844A7">
            <w:pPr>
              <w:spacing w:before="40"/>
              <w:rPr>
                <w:szCs w:val="24"/>
              </w:rPr>
            </w:pPr>
            <w:r w:rsidRPr="0041442B">
              <w:rPr>
                <w:color w:val="000000"/>
                <w:sz w:val="22"/>
                <w:szCs w:val="22"/>
                <w:lang w:val="en-GB" w:eastAsia="en-GB"/>
              </w:rPr>
              <w:t>58%</w:t>
            </w:r>
          </w:p>
        </w:tc>
        <w:tc>
          <w:tcPr>
            <w:tcW w:w="496" w:type="pct"/>
            <w:tcBorders>
              <w:top w:val="nil"/>
              <w:left w:val="nil"/>
              <w:bottom w:val="nil"/>
              <w:right w:val="nil"/>
            </w:tcBorders>
            <w:vAlign w:val="bottom"/>
          </w:tcPr>
          <w:p w14:paraId="41130406" w14:textId="6D74DE23" w:rsidR="009D7E9D" w:rsidRPr="004943CE" w:rsidRDefault="009D7E9D" w:rsidP="005844A7">
            <w:pPr>
              <w:spacing w:before="40"/>
              <w:rPr>
                <w:szCs w:val="24"/>
              </w:rPr>
            </w:pPr>
            <w:r w:rsidRPr="0041442B">
              <w:rPr>
                <w:color w:val="000000"/>
                <w:sz w:val="22"/>
                <w:szCs w:val="22"/>
                <w:lang w:val="en-GB" w:eastAsia="en-GB"/>
              </w:rPr>
              <w:t>26%</w:t>
            </w:r>
          </w:p>
        </w:tc>
        <w:tc>
          <w:tcPr>
            <w:tcW w:w="496" w:type="pct"/>
            <w:tcBorders>
              <w:top w:val="nil"/>
              <w:left w:val="nil"/>
              <w:bottom w:val="nil"/>
              <w:right w:val="nil"/>
            </w:tcBorders>
            <w:vAlign w:val="bottom"/>
          </w:tcPr>
          <w:p w14:paraId="118E3EAA" w14:textId="377AE272" w:rsidR="009D7E9D" w:rsidRPr="004943CE" w:rsidRDefault="009D7E9D" w:rsidP="005844A7">
            <w:pPr>
              <w:spacing w:before="40"/>
              <w:rPr>
                <w:szCs w:val="24"/>
              </w:rPr>
            </w:pPr>
            <w:r w:rsidRPr="0041442B">
              <w:rPr>
                <w:color w:val="000000"/>
                <w:sz w:val="22"/>
                <w:szCs w:val="22"/>
                <w:lang w:val="en-GB" w:eastAsia="en-GB"/>
              </w:rPr>
              <w:t>26%</w:t>
            </w:r>
          </w:p>
        </w:tc>
        <w:tc>
          <w:tcPr>
            <w:tcW w:w="495" w:type="pct"/>
            <w:tcBorders>
              <w:top w:val="nil"/>
              <w:left w:val="nil"/>
              <w:bottom w:val="nil"/>
              <w:right w:val="nil"/>
            </w:tcBorders>
            <w:vAlign w:val="bottom"/>
          </w:tcPr>
          <w:p w14:paraId="1906AE97" w14:textId="004E0151" w:rsidR="009D7E9D" w:rsidRPr="004943CE" w:rsidRDefault="009D7E9D" w:rsidP="005844A7">
            <w:pPr>
              <w:spacing w:before="40"/>
              <w:rPr>
                <w:szCs w:val="24"/>
              </w:rPr>
            </w:pPr>
            <w:r w:rsidRPr="0041442B">
              <w:rPr>
                <w:color w:val="000000"/>
                <w:sz w:val="22"/>
                <w:szCs w:val="22"/>
                <w:lang w:val="en-GB" w:eastAsia="en-GB"/>
              </w:rPr>
              <w:t>32%</w:t>
            </w:r>
          </w:p>
        </w:tc>
        <w:tc>
          <w:tcPr>
            <w:tcW w:w="496" w:type="pct"/>
            <w:tcBorders>
              <w:top w:val="nil"/>
              <w:left w:val="nil"/>
              <w:bottom w:val="nil"/>
              <w:right w:val="nil"/>
            </w:tcBorders>
            <w:vAlign w:val="bottom"/>
          </w:tcPr>
          <w:p w14:paraId="30649E7D" w14:textId="4B9521FE" w:rsidR="009D7E9D" w:rsidRPr="004943CE" w:rsidRDefault="009D7E9D" w:rsidP="005844A7">
            <w:pPr>
              <w:spacing w:before="40"/>
              <w:rPr>
                <w:szCs w:val="24"/>
              </w:rPr>
            </w:pPr>
            <w:r w:rsidRPr="0041442B">
              <w:rPr>
                <w:color w:val="000000"/>
                <w:sz w:val="22"/>
                <w:szCs w:val="22"/>
                <w:lang w:val="en-GB" w:eastAsia="en-GB"/>
              </w:rPr>
              <w:t>58%</w:t>
            </w:r>
          </w:p>
        </w:tc>
        <w:tc>
          <w:tcPr>
            <w:tcW w:w="496" w:type="pct"/>
            <w:tcBorders>
              <w:top w:val="nil"/>
              <w:left w:val="nil"/>
              <w:bottom w:val="nil"/>
              <w:right w:val="nil"/>
            </w:tcBorders>
            <w:vAlign w:val="bottom"/>
          </w:tcPr>
          <w:p w14:paraId="1F20EDC4" w14:textId="3345F580"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4B67CA51" w14:textId="77777777" w:rsidTr="00D82F64">
        <w:trPr>
          <w:trHeight w:val="300"/>
          <w:jc w:val="center"/>
        </w:trPr>
        <w:tc>
          <w:tcPr>
            <w:tcW w:w="1037" w:type="pct"/>
            <w:tcBorders>
              <w:top w:val="nil"/>
              <w:left w:val="nil"/>
              <w:bottom w:val="nil"/>
              <w:right w:val="nil"/>
            </w:tcBorders>
            <w:vAlign w:val="bottom"/>
          </w:tcPr>
          <w:p w14:paraId="0609435D" w14:textId="1DE80AC4" w:rsidR="009D7E9D" w:rsidRPr="004943CE" w:rsidRDefault="009D7E9D" w:rsidP="005844A7">
            <w:pPr>
              <w:spacing w:before="40"/>
              <w:rPr>
                <w:szCs w:val="24"/>
              </w:rPr>
            </w:pPr>
            <w:r w:rsidRPr="0041442B">
              <w:rPr>
                <w:color w:val="000000"/>
                <w:sz w:val="22"/>
                <w:szCs w:val="22"/>
                <w:lang w:val="en-GB" w:eastAsia="en-GB"/>
              </w:rPr>
              <w:t>Northern Africa</w:t>
            </w:r>
          </w:p>
        </w:tc>
        <w:tc>
          <w:tcPr>
            <w:tcW w:w="495" w:type="pct"/>
            <w:tcBorders>
              <w:top w:val="nil"/>
              <w:left w:val="nil"/>
              <w:bottom w:val="nil"/>
              <w:right w:val="nil"/>
            </w:tcBorders>
            <w:vAlign w:val="bottom"/>
          </w:tcPr>
          <w:p w14:paraId="2C69F791" w14:textId="69F1BDD1"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784B32AA" w14:textId="7A0BF91A"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77E39E6A" w14:textId="38605627" w:rsidR="009D7E9D" w:rsidRPr="004943CE" w:rsidRDefault="009D7E9D" w:rsidP="005844A7">
            <w:pPr>
              <w:spacing w:before="40"/>
              <w:rPr>
                <w:szCs w:val="24"/>
              </w:rPr>
            </w:pPr>
            <w:r w:rsidRPr="0041442B">
              <w:rPr>
                <w:color w:val="000000"/>
                <w:sz w:val="22"/>
                <w:szCs w:val="22"/>
                <w:lang w:val="en-GB" w:eastAsia="en-GB"/>
              </w:rPr>
              <w:t>43%</w:t>
            </w:r>
          </w:p>
        </w:tc>
        <w:tc>
          <w:tcPr>
            <w:tcW w:w="496" w:type="pct"/>
            <w:tcBorders>
              <w:top w:val="nil"/>
              <w:left w:val="nil"/>
              <w:bottom w:val="nil"/>
              <w:right w:val="nil"/>
            </w:tcBorders>
            <w:vAlign w:val="bottom"/>
          </w:tcPr>
          <w:p w14:paraId="72412FAE" w14:textId="62D5EBCF" w:rsidR="009D7E9D" w:rsidRPr="004943CE" w:rsidRDefault="009D7E9D" w:rsidP="005844A7">
            <w:pPr>
              <w:spacing w:before="40"/>
              <w:rPr>
                <w:szCs w:val="24"/>
              </w:rPr>
            </w:pPr>
            <w:r w:rsidRPr="0041442B">
              <w:rPr>
                <w:color w:val="000000"/>
                <w:sz w:val="22"/>
                <w:szCs w:val="22"/>
                <w:lang w:val="en-GB" w:eastAsia="en-GB"/>
              </w:rPr>
              <w:t>43%</w:t>
            </w:r>
          </w:p>
        </w:tc>
        <w:tc>
          <w:tcPr>
            <w:tcW w:w="496" w:type="pct"/>
            <w:tcBorders>
              <w:top w:val="nil"/>
              <w:left w:val="nil"/>
              <w:bottom w:val="nil"/>
              <w:right w:val="nil"/>
            </w:tcBorders>
            <w:vAlign w:val="bottom"/>
          </w:tcPr>
          <w:p w14:paraId="49CF2B0F" w14:textId="43C455A4" w:rsidR="009D7E9D" w:rsidRPr="004943CE" w:rsidRDefault="009D7E9D" w:rsidP="005844A7">
            <w:pPr>
              <w:spacing w:before="40"/>
              <w:rPr>
                <w:szCs w:val="24"/>
              </w:rPr>
            </w:pPr>
            <w:r w:rsidRPr="0041442B">
              <w:rPr>
                <w:color w:val="000000"/>
                <w:sz w:val="22"/>
                <w:szCs w:val="22"/>
                <w:lang w:val="en-GB" w:eastAsia="en-GB"/>
              </w:rPr>
              <w:t>43%</w:t>
            </w:r>
          </w:p>
        </w:tc>
        <w:tc>
          <w:tcPr>
            <w:tcW w:w="495" w:type="pct"/>
            <w:tcBorders>
              <w:top w:val="nil"/>
              <w:left w:val="nil"/>
              <w:bottom w:val="nil"/>
              <w:right w:val="nil"/>
            </w:tcBorders>
            <w:vAlign w:val="bottom"/>
          </w:tcPr>
          <w:p w14:paraId="2BB3BA3D" w14:textId="5E164E91" w:rsidR="009D7E9D" w:rsidRPr="004943CE" w:rsidRDefault="009D7E9D" w:rsidP="005844A7">
            <w:pPr>
              <w:spacing w:before="40"/>
              <w:rPr>
                <w:szCs w:val="24"/>
              </w:rPr>
            </w:pPr>
            <w:r w:rsidRPr="0041442B">
              <w:rPr>
                <w:color w:val="000000"/>
                <w:sz w:val="22"/>
                <w:szCs w:val="22"/>
                <w:lang w:val="en-GB" w:eastAsia="en-GB"/>
              </w:rPr>
              <w:t>43%</w:t>
            </w:r>
          </w:p>
        </w:tc>
        <w:tc>
          <w:tcPr>
            <w:tcW w:w="496" w:type="pct"/>
            <w:tcBorders>
              <w:top w:val="nil"/>
              <w:left w:val="nil"/>
              <w:bottom w:val="nil"/>
              <w:right w:val="nil"/>
            </w:tcBorders>
            <w:vAlign w:val="bottom"/>
          </w:tcPr>
          <w:p w14:paraId="28FC7D32" w14:textId="18D0F049" w:rsidR="009D7E9D" w:rsidRPr="004943CE" w:rsidRDefault="009D7E9D" w:rsidP="005844A7">
            <w:pPr>
              <w:spacing w:before="40"/>
              <w:rPr>
                <w:szCs w:val="24"/>
              </w:rPr>
            </w:pPr>
            <w:r w:rsidRPr="0041442B">
              <w:rPr>
                <w:color w:val="000000"/>
                <w:sz w:val="22"/>
                <w:szCs w:val="22"/>
                <w:lang w:val="en-GB" w:eastAsia="en-GB"/>
              </w:rPr>
              <w:t>57%</w:t>
            </w:r>
          </w:p>
        </w:tc>
        <w:tc>
          <w:tcPr>
            <w:tcW w:w="496" w:type="pct"/>
            <w:tcBorders>
              <w:top w:val="nil"/>
              <w:left w:val="nil"/>
              <w:bottom w:val="nil"/>
              <w:right w:val="nil"/>
            </w:tcBorders>
            <w:vAlign w:val="bottom"/>
          </w:tcPr>
          <w:p w14:paraId="795BA221" w14:textId="229EF1AB"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33592B53" w14:textId="77777777" w:rsidTr="00D82F64">
        <w:trPr>
          <w:trHeight w:val="300"/>
          <w:jc w:val="center"/>
        </w:trPr>
        <w:tc>
          <w:tcPr>
            <w:tcW w:w="1037" w:type="pct"/>
            <w:tcBorders>
              <w:top w:val="nil"/>
              <w:left w:val="nil"/>
              <w:bottom w:val="nil"/>
              <w:right w:val="nil"/>
            </w:tcBorders>
            <w:vAlign w:val="bottom"/>
          </w:tcPr>
          <w:p w14:paraId="54BB8E86" w14:textId="46A9FC18" w:rsidR="009D7E9D" w:rsidRPr="004943CE" w:rsidRDefault="009D7E9D" w:rsidP="005844A7">
            <w:pPr>
              <w:spacing w:before="40"/>
              <w:rPr>
                <w:szCs w:val="24"/>
              </w:rPr>
            </w:pPr>
            <w:r w:rsidRPr="0041442B">
              <w:rPr>
                <w:color w:val="000000"/>
                <w:sz w:val="22"/>
                <w:szCs w:val="22"/>
                <w:lang w:val="en-GB" w:eastAsia="en-GB"/>
              </w:rPr>
              <w:t>Middle Africa</w:t>
            </w:r>
          </w:p>
        </w:tc>
        <w:tc>
          <w:tcPr>
            <w:tcW w:w="495" w:type="pct"/>
            <w:tcBorders>
              <w:top w:val="nil"/>
              <w:left w:val="nil"/>
              <w:bottom w:val="nil"/>
              <w:right w:val="nil"/>
            </w:tcBorders>
            <w:vAlign w:val="bottom"/>
          </w:tcPr>
          <w:p w14:paraId="3A579394" w14:textId="02390FCC"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4CC579FE" w14:textId="621FA7E0"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4EE5EE53" w14:textId="73782101" w:rsidR="009D7E9D" w:rsidRPr="004943CE" w:rsidRDefault="009D7E9D" w:rsidP="005844A7">
            <w:pPr>
              <w:spacing w:before="40"/>
              <w:rPr>
                <w:szCs w:val="24"/>
              </w:rPr>
            </w:pPr>
            <w:r w:rsidRPr="0041442B">
              <w:rPr>
                <w:color w:val="000000"/>
                <w:sz w:val="22"/>
                <w:szCs w:val="22"/>
                <w:lang w:val="en-GB" w:eastAsia="en-GB"/>
              </w:rPr>
              <w:t>11%</w:t>
            </w:r>
          </w:p>
        </w:tc>
        <w:tc>
          <w:tcPr>
            <w:tcW w:w="496" w:type="pct"/>
            <w:tcBorders>
              <w:top w:val="nil"/>
              <w:left w:val="nil"/>
              <w:bottom w:val="nil"/>
              <w:right w:val="nil"/>
            </w:tcBorders>
            <w:vAlign w:val="bottom"/>
          </w:tcPr>
          <w:p w14:paraId="65F4B2F4" w14:textId="62971208"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77821B72" w14:textId="589BA1AF"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5563D854" w14:textId="65969C2D"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726EE85A" w14:textId="5DF24FE0" w:rsidR="009D7E9D" w:rsidRPr="004943CE" w:rsidRDefault="009D7E9D" w:rsidP="005844A7">
            <w:pPr>
              <w:spacing w:before="40"/>
              <w:rPr>
                <w:szCs w:val="24"/>
              </w:rPr>
            </w:pPr>
            <w:r w:rsidRPr="0041442B">
              <w:rPr>
                <w:color w:val="000000"/>
                <w:sz w:val="22"/>
                <w:szCs w:val="22"/>
                <w:lang w:val="en-GB" w:eastAsia="en-GB"/>
              </w:rPr>
              <w:t>33%</w:t>
            </w:r>
          </w:p>
        </w:tc>
        <w:tc>
          <w:tcPr>
            <w:tcW w:w="496" w:type="pct"/>
            <w:tcBorders>
              <w:top w:val="nil"/>
              <w:left w:val="nil"/>
              <w:bottom w:val="nil"/>
              <w:right w:val="nil"/>
            </w:tcBorders>
            <w:vAlign w:val="bottom"/>
          </w:tcPr>
          <w:p w14:paraId="23D4BCBC" w14:textId="33EF22F0"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734667F5" w14:textId="77777777" w:rsidTr="00D82F64">
        <w:trPr>
          <w:trHeight w:val="300"/>
          <w:jc w:val="center"/>
        </w:trPr>
        <w:tc>
          <w:tcPr>
            <w:tcW w:w="1037" w:type="pct"/>
            <w:tcBorders>
              <w:top w:val="nil"/>
              <w:left w:val="nil"/>
              <w:bottom w:val="nil"/>
              <w:right w:val="nil"/>
            </w:tcBorders>
            <w:vAlign w:val="bottom"/>
          </w:tcPr>
          <w:p w14:paraId="7EDFDD60" w14:textId="781C0D80" w:rsidR="009D7E9D" w:rsidRPr="004943CE" w:rsidRDefault="009D7E9D" w:rsidP="005844A7">
            <w:pPr>
              <w:spacing w:before="40"/>
              <w:rPr>
                <w:szCs w:val="24"/>
              </w:rPr>
            </w:pPr>
            <w:r w:rsidRPr="0041442B">
              <w:rPr>
                <w:color w:val="000000"/>
                <w:sz w:val="22"/>
                <w:szCs w:val="22"/>
                <w:lang w:val="en-GB" w:eastAsia="en-GB"/>
              </w:rPr>
              <w:t>Southern Africa</w:t>
            </w:r>
          </w:p>
        </w:tc>
        <w:tc>
          <w:tcPr>
            <w:tcW w:w="495" w:type="pct"/>
            <w:tcBorders>
              <w:top w:val="nil"/>
              <w:left w:val="nil"/>
              <w:bottom w:val="nil"/>
              <w:right w:val="nil"/>
            </w:tcBorders>
            <w:vAlign w:val="bottom"/>
          </w:tcPr>
          <w:p w14:paraId="6D3C9DFD" w14:textId="673EF02B" w:rsidR="009D7E9D" w:rsidRPr="004943CE" w:rsidRDefault="009D7E9D" w:rsidP="005844A7">
            <w:pPr>
              <w:spacing w:before="40"/>
              <w:rPr>
                <w:szCs w:val="24"/>
              </w:rPr>
            </w:pPr>
            <w:r w:rsidRPr="0041442B">
              <w:rPr>
                <w:color w:val="000000"/>
                <w:sz w:val="22"/>
                <w:szCs w:val="22"/>
                <w:lang w:val="en-GB" w:eastAsia="en-GB"/>
              </w:rPr>
              <w:t>40%</w:t>
            </w:r>
          </w:p>
        </w:tc>
        <w:tc>
          <w:tcPr>
            <w:tcW w:w="496" w:type="pct"/>
            <w:tcBorders>
              <w:top w:val="nil"/>
              <w:left w:val="nil"/>
              <w:bottom w:val="nil"/>
              <w:right w:val="nil"/>
            </w:tcBorders>
            <w:vAlign w:val="bottom"/>
          </w:tcPr>
          <w:p w14:paraId="4985E553" w14:textId="74908772"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30BB8914" w14:textId="67A91AD8"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25869BA2" w14:textId="5D77C907" w:rsidR="009D7E9D" w:rsidRPr="004943CE" w:rsidRDefault="009D7E9D" w:rsidP="005844A7">
            <w:pPr>
              <w:spacing w:before="40"/>
              <w:rPr>
                <w:szCs w:val="24"/>
              </w:rPr>
            </w:pPr>
            <w:r w:rsidRPr="0041442B">
              <w:rPr>
                <w:color w:val="000000"/>
                <w:sz w:val="22"/>
                <w:szCs w:val="22"/>
                <w:lang w:val="en-GB" w:eastAsia="en-GB"/>
              </w:rPr>
              <w:t>60%</w:t>
            </w:r>
          </w:p>
        </w:tc>
        <w:tc>
          <w:tcPr>
            <w:tcW w:w="496" w:type="pct"/>
            <w:tcBorders>
              <w:top w:val="nil"/>
              <w:left w:val="nil"/>
              <w:bottom w:val="nil"/>
              <w:right w:val="nil"/>
            </w:tcBorders>
            <w:vAlign w:val="bottom"/>
          </w:tcPr>
          <w:p w14:paraId="380D67C0" w14:textId="5767F559" w:rsidR="009D7E9D" w:rsidRPr="004943CE" w:rsidRDefault="009D7E9D" w:rsidP="005844A7">
            <w:pPr>
              <w:spacing w:before="40"/>
              <w:rPr>
                <w:szCs w:val="24"/>
              </w:rPr>
            </w:pPr>
            <w:r w:rsidRPr="0041442B">
              <w:rPr>
                <w:color w:val="000000"/>
                <w:sz w:val="22"/>
                <w:szCs w:val="22"/>
                <w:lang w:val="en-GB" w:eastAsia="en-GB"/>
              </w:rPr>
              <w:t>80%</w:t>
            </w:r>
          </w:p>
        </w:tc>
        <w:tc>
          <w:tcPr>
            <w:tcW w:w="495" w:type="pct"/>
            <w:tcBorders>
              <w:top w:val="nil"/>
              <w:left w:val="nil"/>
              <w:bottom w:val="nil"/>
              <w:right w:val="nil"/>
            </w:tcBorders>
            <w:vAlign w:val="bottom"/>
          </w:tcPr>
          <w:p w14:paraId="7551F8AE" w14:textId="4A3C2F13"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64BE136F" w14:textId="01E6BA48"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6AFC7CA3" w14:textId="0B850F7C"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25C6BFDF" w14:textId="77777777" w:rsidTr="00D82F64">
        <w:trPr>
          <w:trHeight w:val="300"/>
          <w:jc w:val="center"/>
        </w:trPr>
        <w:tc>
          <w:tcPr>
            <w:tcW w:w="1037" w:type="pct"/>
            <w:tcBorders>
              <w:top w:val="nil"/>
              <w:left w:val="nil"/>
              <w:bottom w:val="nil"/>
              <w:right w:val="nil"/>
            </w:tcBorders>
            <w:vAlign w:val="bottom"/>
          </w:tcPr>
          <w:p w14:paraId="2E262DCD" w14:textId="0AAFCBCA" w:rsidR="009D7E9D" w:rsidRPr="004943CE" w:rsidRDefault="009D7E9D" w:rsidP="005844A7">
            <w:pPr>
              <w:spacing w:before="40"/>
              <w:rPr>
                <w:szCs w:val="24"/>
              </w:rPr>
            </w:pPr>
            <w:r w:rsidRPr="0041442B">
              <w:rPr>
                <w:color w:val="000000"/>
                <w:sz w:val="22"/>
                <w:szCs w:val="22"/>
                <w:lang w:val="en-GB" w:eastAsia="en-GB"/>
              </w:rPr>
              <w:t xml:space="preserve">Northern America </w:t>
            </w:r>
          </w:p>
        </w:tc>
        <w:tc>
          <w:tcPr>
            <w:tcW w:w="495" w:type="pct"/>
            <w:tcBorders>
              <w:top w:val="nil"/>
              <w:left w:val="nil"/>
              <w:bottom w:val="nil"/>
              <w:right w:val="nil"/>
            </w:tcBorders>
            <w:vAlign w:val="bottom"/>
          </w:tcPr>
          <w:p w14:paraId="09B7D211" w14:textId="1529B049" w:rsidR="009D7E9D" w:rsidRPr="004943CE" w:rsidRDefault="009D7E9D" w:rsidP="005844A7">
            <w:pPr>
              <w:spacing w:before="40"/>
              <w:rPr>
                <w:szCs w:val="24"/>
              </w:rPr>
            </w:pPr>
            <w:r w:rsidRPr="0041442B">
              <w:rPr>
                <w:color w:val="000000"/>
                <w:sz w:val="22"/>
                <w:szCs w:val="22"/>
                <w:lang w:val="en-GB" w:eastAsia="en-GB"/>
              </w:rPr>
              <w:t>25%</w:t>
            </w:r>
          </w:p>
        </w:tc>
        <w:tc>
          <w:tcPr>
            <w:tcW w:w="496" w:type="pct"/>
            <w:tcBorders>
              <w:top w:val="nil"/>
              <w:left w:val="nil"/>
              <w:bottom w:val="nil"/>
              <w:right w:val="nil"/>
            </w:tcBorders>
            <w:vAlign w:val="bottom"/>
          </w:tcPr>
          <w:p w14:paraId="6C027951" w14:textId="7B5C95AB"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35F4F989" w14:textId="29E6C06D"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1215BFD5" w14:textId="1470E074" w:rsidR="009D7E9D" w:rsidRPr="004943CE" w:rsidRDefault="009D7E9D" w:rsidP="005844A7">
            <w:pPr>
              <w:spacing w:before="40"/>
              <w:rPr>
                <w:szCs w:val="24"/>
              </w:rPr>
            </w:pPr>
            <w:r w:rsidRPr="0041442B">
              <w:rPr>
                <w:color w:val="000000"/>
                <w:sz w:val="22"/>
                <w:szCs w:val="22"/>
                <w:lang w:val="en-GB" w:eastAsia="en-GB"/>
              </w:rPr>
              <w:t>25%</w:t>
            </w:r>
          </w:p>
        </w:tc>
        <w:tc>
          <w:tcPr>
            <w:tcW w:w="496" w:type="pct"/>
            <w:tcBorders>
              <w:top w:val="nil"/>
              <w:left w:val="nil"/>
              <w:bottom w:val="nil"/>
              <w:right w:val="nil"/>
            </w:tcBorders>
            <w:vAlign w:val="bottom"/>
          </w:tcPr>
          <w:p w14:paraId="676D17A8" w14:textId="495F8739" w:rsidR="009D7E9D" w:rsidRPr="004943CE" w:rsidRDefault="009D7E9D" w:rsidP="005844A7">
            <w:pPr>
              <w:spacing w:before="40"/>
              <w:rPr>
                <w:szCs w:val="24"/>
              </w:rPr>
            </w:pPr>
            <w:r w:rsidRPr="0041442B">
              <w:rPr>
                <w:color w:val="000000"/>
                <w:sz w:val="22"/>
                <w:szCs w:val="22"/>
                <w:lang w:val="en-GB" w:eastAsia="en-GB"/>
              </w:rPr>
              <w:t>25%</w:t>
            </w:r>
          </w:p>
        </w:tc>
        <w:tc>
          <w:tcPr>
            <w:tcW w:w="495" w:type="pct"/>
            <w:tcBorders>
              <w:top w:val="nil"/>
              <w:left w:val="nil"/>
              <w:bottom w:val="nil"/>
              <w:right w:val="nil"/>
            </w:tcBorders>
            <w:vAlign w:val="bottom"/>
          </w:tcPr>
          <w:p w14:paraId="5F317A98" w14:textId="70D381AD"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08390F02" w14:textId="7D22C03B" w:rsidR="009D7E9D" w:rsidRPr="004943CE" w:rsidRDefault="009D7E9D" w:rsidP="005844A7">
            <w:pPr>
              <w:spacing w:before="40"/>
              <w:rPr>
                <w:szCs w:val="24"/>
              </w:rPr>
            </w:pPr>
            <w:r w:rsidRPr="0041442B">
              <w:rPr>
                <w:color w:val="000000"/>
                <w:sz w:val="22"/>
                <w:szCs w:val="22"/>
                <w:lang w:val="en-GB" w:eastAsia="en-GB"/>
              </w:rPr>
              <w:t>25%</w:t>
            </w:r>
          </w:p>
        </w:tc>
        <w:tc>
          <w:tcPr>
            <w:tcW w:w="496" w:type="pct"/>
            <w:tcBorders>
              <w:top w:val="nil"/>
              <w:left w:val="nil"/>
              <w:bottom w:val="nil"/>
              <w:right w:val="nil"/>
            </w:tcBorders>
            <w:vAlign w:val="bottom"/>
          </w:tcPr>
          <w:p w14:paraId="100187E3" w14:textId="39359756" w:rsidR="009D7E9D" w:rsidRPr="004943CE" w:rsidRDefault="009D7E9D" w:rsidP="005844A7">
            <w:pPr>
              <w:spacing w:before="40"/>
              <w:rPr>
                <w:szCs w:val="24"/>
              </w:rPr>
            </w:pPr>
            <w:r w:rsidRPr="0041442B">
              <w:rPr>
                <w:color w:val="000000"/>
                <w:sz w:val="22"/>
                <w:szCs w:val="22"/>
                <w:lang w:val="en-GB" w:eastAsia="en-GB"/>
              </w:rPr>
              <w:t>25%</w:t>
            </w:r>
          </w:p>
        </w:tc>
      </w:tr>
      <w:tr w:rsidR="009D7E9D" w:rsidRPr="004943CE" w14:paraId="57F380AB" w14:textId="77777777" w:rsidTr="00D82F64">
        <w:trPr>
          <w:trHeight w:val="300"/>
          <w:jc w:val="center"/>
        </w:trPr>
        <w:tc>
          <w:tcPr>
            <w:tcW w:w="1037" w:type="pct"/>
            <w:tcBorders>
              <w:top w:val="nil"/>
              <w:left w:val="nil"/>
              <w:bottom w:val="nil"/>
              <w:right w:val="nil"/>
            </w:tcBorders>
            <w:vAlign w:val="bottom"/>
          </w:tcPr>
          <w:p w14:paraId="7CEE3F5C" w14:textId="57FB9A7A" w:rsidR="009D7E9D" w:rsidRPr="004943CE" w:rsidRDefault="009D7E9D" w:rsidP="005844A7">
            <w:pPr>
              <w:spacing w:before="40"/>
              <w:rPr>
                <w:szCs w:val="24"/>
              </w:rPr>
            </w:pPr>
            <w:r w:rsidRPr="0041442B">
              <w:rPr>
                <w:color w:val="000000"/>
                <w:sz w:val="22"/>
                <w:szCs w:val="22"/>
                <w:lang w:val="en-GB" w:eastAsia="en-GB"/>
              </w:rPr>
              <w:t>Caribbean</w:t>
            </w:r>
          </w:p>
        </w:tc>
        <w:tc>
          <w:tcPr>
            <w:tcW w:w="495" w:type="pct"/>
            <w:tcBorders>
              <w:top w:val="nil"/>
              <w:left w:val="nil"/>
              <w:bottom w:val="nil"/>
              <w:right w:val="nil"/>
            </w:tcBorders>
            <w:vAlign w:val="bottom"/>
          </w:tcPr>
          <w:p w14:paraId="5B019745" w14:textId="6A622B29" w:rsidR="009D7E9D" w:rsidRPr="004943CE" w:rsidRDefault="009D7E9D" w:rsidP="005844A7">
            <w:pPr>
              <w:spacing w:before="40"/>
              <w:rPr>
                <w:szCs w:val="24"/>
              </w:rPr>
            </w:pPr>
            <w:r w:rsidRPr="0041442B">
              <w:rPr>
                <w:color w:val="000000"/>
                <w:sz w:val="22"/>
                <w:szCs w:val="22"/>
                <w:lang w:val="en-GB" w:eastAsia="en-GB"/>
              </w:rPr>
              <w:t>9%</w:t>
            </w:r>
          </w:p>
        </w:tc>
        <w:tc>
          <w:tcPr>
            <w:tcW w:w="496" w:type="pct"/>
            <w:tcBorders>
              <w:top w:val="nil"/>
              <w:left w:val="nil"/>
              <w:bottom w:val="nil"/>
              <w:right w:val="nil"/>
            </w:tcBorders>
            <w:vAlign w:val="bottom"/>
          </w:tcPr>
          <w:p w14:paraId="67150CA7" w14:textId="531EB2DD"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2D9353A9" w14:textId="5BC0A27F" w:rsidR="009D7E9D" w:rsidRPr="004943CE" w:rsidRDefault="009D7E9D" w:rsidP="005844A7">
            <w:pPr>
              <w:spacing w:before="40"/>
              <w:rPr>
                <w:szCs w:val="24"/>
              </w:rPr>
            </w:pPr>
            <w:r w:rsidRPr="0041442B">
              <w:rPr>
                <w:color w:val="000000"/>
                <w:sz w:val="22"/>
                <w:szCs w:val="22"/>
                <w:lang w:val="en-GB" w:eastAsia="en-GB"/>
              </w:rPr>
              <w:t>13%</w:t>
            </w:r>
          </w:p>
        </w:tc>
        <w:tc>
          <w:tcPr>
            <w:tcW w:w="496" w:type="pct"/>
            <w:tcBorders>
              <w:top w:val="nil"/>
              <w:left w:val="nil"/>
              <w:bottom w:val="nil"/>
              <w:right w:val="nil"/>
            </w:tcBorders>
            <w:vAlign w:val="bottom"/>
          </w:tcPr>
          <w:p w14:paraId="07FD50F1" w14:textId="0826D6A7" w:rsidR="009D7E9D" w:rsidRPr="004943CE" w:rsidRDefault="009D7E9D" w:rsidP="005844A7">
            <w:pPr>
              <w:spacing w:before="40"/>
              <w:rPr>
                <w:szCs w:val="24"/>
              </w:rPr>
            </w:pPr>
            <w:r w:rsidRPr="0041442B">
              <w:rPr>
                <w:color w:val="000000"/>
                <w:sz w:val="22"/>
                <w:szCs w:val="22"/>
                <w:lang w:val="en-GB" w:eastAsia="en-GB"/>
              </w:rPr>
              <w:t>9%</w:t>
            </w:r>
          </w:p>
        </w:tc>
        <w:tc>
          <w:tcPr>
            <w:tcW w:w="496" w:type="pct"/>
            <w:tcBorders>
              <w:top w:val="nil"/>
              <w:left w:val="nil"/>
              <w:bottom w:val="nil"/>
              <w:right w:val="nil"/>
            </w:tcBorders>
            <w:vAlign w:val="bottom"/>
          </w:tcPr>
          <w:p w14:paraId="1C16D929" w14:textId="55058974" w:rsidR="009D7E9D" w:rsidRPr="004943CE" w:rsidRDefault="009D7E9D" w:rsidP="005844A7">
            <w:pPr>
              <w:spacing w:before="40"/>
              <w:rPr>
                <w:szCs w:val="24"/>
              </w:rPr>
            </w:pPr>
            <w:r w:rsidRPr="0041442B">
              <w:rPr>
                <w:color w:val="000000"/>
                <w:sz w:val="22"/>
                <w:szCs w:val="22"/>
                <w:lang w:val="en-GB" w:eastAsia="en-GB"/>
              </w:rPr>
              <w:t>17%</w:t>
            </w:r>
          </w:p>
        </w:tc>
        <w:tc>
          <w:tcPr>
            <w:tcW w:w="495" w:type="pct"/>
            <w:tcBorders>
              <w:top w:val="nil"/>
              <w:left w:val="nil"/>
              <w:bottom w:val="nil"/>
              <w:right w:val="nil"/>
            </w:tcBorders>
            <w:vAlign w:val="bottom"/>
          </w:tcPr>
          <w:p w14:paraId="3395C8CC" w14:textId="5076F73D" w:rsidR="009D7E9D" w:rsidRPr="004943CE" w:rsidRDefault="009D7E9D" w:rsidP="005844A7">
            <w:pPr>
              <w:spacing w:before="40"/>
              <w:rPr>
                <w:szCs w:val="24"/>
              </w:rPr>
            </w:pPr>
            <w:r w:rsidRPr="0041442B">
              <w:rPr>
                <w:color w:val="000000"/>
                <w:sz w:val="22"/>
                <w:szCs w:val="22"/>
                <w:lang w:val="en-GB" w:eastAsia="en-GB"/>
              </w:rPr>
              <w:t>9%</w:t>
            </w:r>
          </w:p>
        </w:tc>
        <w:tc>
          <w:tcPr>
            <w:tcW w:w="496" w:type="pct"/>
            <w:tcBorders>
              <w:top w:val="nil"/>
              <w:left w:val="nil"/>
              <w:bottom w:val="nil"/>
              <w:right w:val="nil"/>
            </w:tcBorders>
            <w:vAlign w:val="bottom"/>
          </w:tcPr>
          <w:p w14:paraId="1444F7DA" w14:textId="7EF7BFAA" w:rsidR="009D7E9D" w:rsidRPr="004943CE" w:rsidRDefault="009D7E9D" w:rsidP="005844A7">
            <w:pPr>
              <w:spacing w:before="40"/>
              <w:rPr>
                <w:szCs w:val="24"/>
              </w:rPr>
            </w:pPr>
            <w:r w:rsidRPr="0041442B">
              <w:rPr>
                <w:color w:val="000000"/>
                <w:sz w:val="22"/>
                <w:szCs w:val="22"/>
                <w:lang w:val="en-GB" w:eastAsia="en-GB"/>
              </w:rPr>
              <w:t>13%</w:t>
            </w:r>
          </w:p>
        </w:tc>
        <w:tc>
          <w:tcPr>
            <w:tcW w:w="496" w:type="pct"/>
            <w:tcBorders>
              <w:top w:val="nil"/>
              <w:left w:val="nil"/>
              <w:bottom w:val="nil"/>
              <w:right w:val="nil"/>
            </w:tcBorders>
            <w:vAlign w:val="bottom"/>
          </w:tcPr>
          <w:p w14:paraId="34E53373" w14:textId="0180DB2A"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51DA0EA0" w14:textId="77777777" w:rsidTr="00D82F64">
        <w:trPr>
          <w:trHeight w:val="300"/>
          <w:jc w:val="center"/>
        </w:trPr>
        <w:tc>
          <w:tcPr>
            <w:tcW w:w="1037" w:type="pct"/>
            <w:tcBorders>
              <w:top w:val="nil"/>
              <w:left w:val="nil"/>
              <w:bottom w:val="nil"/>
              <w:right w:val="nil"/>
            </w:tcBorders>
            <w:vAlign w:val="bottom"/>
          </w:tcPr>
          <w:p w14:paraId="339BFB4F" w14:textId="47649E38" w:rsidR="009D7E9D" w:rsidRPr="004943CE" w:rsidRDefault="009D7E9D" w:rsidP="005844A7">
            <w:pPr>
              <w:spacing w:before="40"/>
              <w:rPr>
                <w:szCs w:val="24"/>
              </w:rPr>
            </w:pPr>
            <w:r w:rsidRPr="0041442B">
              <w:rPr>
                <w:color w:val="000000"/>
                <w:sz w:val="22"/>
                <w:szCs w:val="22"/>
                <w:lang w:val="en-GB" w:eastAsia="en-GB"/>
              </w:rPr>
              <w:t>Eastern Asia</w:t>
            </w:r>
          </w:p>
        </w:tc>
        <w:tc>
          <w:tcPr>
            <w:tcW w:w="495" w:type="pct"/>
            <w:tcBorders>
              <w:top w:val="nil"/>
              <w:left w:val="nil"/>
              <w:bottom w:val="nil"/>
              <w:right w:val="nil"/>
            </w:tcBorders>
            <w:vAlign w:val="bottom"/>
          </w:tcPr>
          <w:p w14:paraId="0204E1B7" w14:textId="7A169A84"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1053DF0F" w14:textId="5032ACE4"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7CA0F10E" w14:textId="431F9918" w:rsidR="009D7E9D" w:rsidRPr="004943CE" w:rsidRDefault="009D7E9D" w:rsidP="005844A7">
            <w:pPr>
              <w:spacing w:before="40"/>
              <w:rPr>
                <w:szCs w:val="24"/>
              </w:rPr>
            </w:pPr>
            <w:r w:rsidRPr="0041442B">
              <w:rPr>
                <w:color w:val="000000"/>
                <w:sz w:val="22"/>
                <w:szCs w:val="22"/>
                <w:lang w:val="en-GB" w:eastAsia="en-GB"/>
              </w:rPr>
              <w:t>29%</w:t>
            </w:r>
          </w:p>
        </w:tc>
        <w:tc>
          <w:tcPr>
            <w:tcW w:w="496" w:type="pct"/>
            <w:tcBorders>
              <w:top w:val="nil"/>
              <w:left w:val="nil"/>
              <w:bottom w:val="nil"/>
              <w:right w:val="nil"/>
            </w:tcBorders>
            <w:vAlign w:val="bottom"/>
          </w:tcPr>
          <w:p w14:paraId="454C962E" w14:textId="2E4107A2" w:rsidR="009D7E9D" w:rsidRPr="004943CE" w:rsidRDefault="009D7E9D" w:rsidP="005844A7">
            <w:pPr>
              <w:spacing w:before="40"/>
              <w:rPr>
                <w:szCs w:val="24"/>
              </w:rPr>
            </w:pPr>
            <w:r w:rsidRPr="0041442B">
              <w:rPr>
                <w:color w:val="000000"/>
                <w:sz w:val="22"/>
                <w:szCs w:val="22"/>
                <w:lang w:val="en-GB" w:eastAsia="en-GB"/>
              </w:rPr>
              <w:t>14%</w:t>
            </w:r>
          </w:p>
        </w:tc>
        <w:tc>
          <w:tcPr>
            <w:tcW w:w="496" w:type="pct"/>
            <w:tcBorders>
              <w:top w:val="nil"/>
              <w:left w:val="nil"/>
              <w:bottom w:val="nil"/>
              <w:right w:val="nil"/>
            </w:tcBorders>
            <w:vAlign w:val="bottom"/>
          </w:tcPr>
          <w:p w14:paraId="262A325D" w14:textId="0FCEAA7F" w:rsidR="009D7E9D" w:rsidRPr="004943CE" w:rsidRDefault="009D7E9D" w:rsidP="005844A7">
            <w:pPr>
              <w:spacing w:before="40"/>
              <w:rPr>
                <w:szCs w:val="24"/>
              </w:rPr>
            </w:pPr>
            <w:r w:rsidRPr="0041442B">
              <w:rPr>
                <w:color w:val="000000"/>
                <w:sz w:val="22"/>
                <w:szCs w:val="22"/>
                <w:lang w:val="en-GB" w:eastAsia="en-GB"/>
              </w:rPr>
              <w:t>14%</w:t>
            </w:r>
          </w:p>
        </w:tc>
        <w:tc>
          <w:tcPr>
            <w:tcW w:w="495" w:type="pct"/>
            <w:tcBorders>
              <w:top w:val="nil"/>
              <w:left w:val="nil"/>
              <w:bottom w:val="nil"/>
              <w:right w:val="nil"/>
            </w:tcBorders>
            <w:vAlign w:val="bottom"/>
          </w:tcPr>
          <w:p w14:paraId="3BDAD07C" w14:textId="066F790C" w:rsidR="009D7E9D" w:rsidRPr="004943CE" w:rsidRDefault="009D7E9D" w:rsidP="005844A7">
            <w:pPr>
              <w:spacing w:before="40"/>
              <w:rPr>
                <w:szCs w:val="24"/>
              </w:rPr>
            </w:pPr>
            <w:r w:rsidRPr="0041442B">
              <w:rPr>
                <w:color w:val="000000"/>
                <w:sz w:val="22"/>
                <w:szCs w:val="22"/>
                <w:lang w:val="en-GB" w:eastAsia="en-GB"/>
              </w:rPr>
              <w:t>14%</w:t>
            </w:r>
          </w:p>
        </w:tc>
        <w:tc>
          <w:tcPr>
            <w:tcW w:w="496" w:type="pct"/>
            <w:tcBorders>
              <w:top w:val="nil"/>
              <w:left w:val="nil"/>
              <w:bottom w:val="nil"/>
              <w:right w:val="nil"/>
            </w:tcBorders>
            <w:vAlign w:val="bottom"/>
          </w:tcPr>
          <w:p w14:paraId="547CEF73" w14:textId="7D836998" w:rsidR="009D7E9D" w:rsidRPr="004943CE" w:rsidRDefault="009D7E9D" w:rsidP="005844A7">
            <w:pPr>
              <w:spacing w:before="40"/>
              <w:rPr>
                <w:szCs w:val="24"/>
              </w:rPr>
            </w:pPr>
            <w:r w:rsidRPr="0041442B">
              <w:rPr>
                <w:color w:val="000000"/>
                <w:sz w:val="22"/>
                <w:szCs w:val="22"/>
                <w:lang w:val="en-GB" w:eastAsia="en-GB"/>
              </w:rPr>
              <w:t>29%</w:t>
            </w:r>
          </w:p>
        </w:tc>
        <w:tc>
          <w:tcPr>
            <w:tcW w:w="496" w:type="pct"/>
            <w:tcBorders>
              <w:top w:val="nil"/>
              <w:left w:val="nil"/>
              <w:bottom w:val="nil"/>
              <w:right w:val="nil"/>
            </w:tcBorders>
            <w:vAlign w:val="bottom"/>
          </w:tcPr>
          <w:p w14:paraId="57FAF6C7" w14:textId="3576DAD0"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3D3A341E" w14:textId="77777777" w:rsidTr="00D82F64">
        <w:trPr>
          <w:trHeight w:val="300"/>
          <w:jc w:val="center"/>
        </w:trPr>
        <w:tc>
          <w:tcPr>
            <w:tcW w:w="1037" w:type="pct"/>
            <w:tcBorders>
              <w:top w:val="nil"/>
              <w:left w:val="nil"/>
              <w:bottom w:val="nil"/>
              <w:right w:val="nil"/>
            </w:tcBorders>
            <w:vAlign w:val="bottom"/>
          </w:tcPr>
          <w:p w14:paraId="6ED03F1C" w14:textId="2BB53B4D" w:rsidR="009D7E9D" w:rsidRPr="004943CE" w:rsidRDefault="009D7E9D" w:rsidP="005844A7">
            <w:pPr>
              <w:spacing w:before="40"/>
              <w:rPr>
                <w:szCs w:val="24"/>
              </w:rPr>
            </w:pPr>
            <w:r w:rsidRPr="0041442B">
              <w:rPr>
                <w:color w:val="000000"/>
                <w:sz w:val="22"/>
                <w:szCs w:val="22"/>
                <w:lang w:val="en-GB" w:eastAsia="en-GB"/>
              </w:rPr>
              <w:t>Southern Asia</w:t>
            </w:r>
          </w:p>
        </w:tc>
        <w:tc>
          <w:tcPr>
            <w:tcW w:w="495" w:type="pct"/>
            <w:tcBorders>
              <w:top w:val="nil"/>
              <w:left w:val="nil"/>
              <w:bottom w:val="nil"/>
              <w:right w:val="nil"/>
            </w:tcBorders>
            <w:vAlign w:val="bottom"/>
          </w:tcPr>
          <w:p w14:paraId="4611FFB8" w14:textId="62B0B55D" w:rsidR="009D7E9D" w:rsidRPr="004943CE" w:rsidRDefault="009D7E9D" w:rsidP="005844A7">
            <w:pPr>
              <w:spacing w:before="40"/>
              <w:rPr>
                <w:szCs w:val="24"/>
              </w:rPr>
            </w:pPr>
            <w:r w:rsidRPr="0041442B">
              <w:rPr>
                <w:color w:val="000000"/>
                <w:sz w:val="22"/>
                <w:szCs w:val="22"/>
                <w:lang w:val="en-GB" w:eastAsia="en-GB"/>
              </w:rPr>
              <w:t>22%</w:t>
            </w:r>
          </w:p>
        </w:tc>
        <w:tc>
          <w:tcPr>
            <w:tcW w:w="496" w:type="pct"/>
            <w:tcBorders>
              <w:top w:val="nil"/>
              <w:left w:val="nil"/>
              <w:bottom w:val="nil"/>
              <w:right w:val="nil"/>
            </w:tcBorders>
            <w:vAlign w:val="bottom"/>
          </w:tcPr>
          <w:p w14:paraId="3B8C1AEC" w14:textId="302A9A10"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08F1AADA" w14:textId="6D651327" w:rsidR="009D7E9D" w:rsidRPr="004943CE" w:rsidRDefault="009D7E9D" w:rsidP="005844A7">
            <w:pPr>
              <w:spacing w:before="40"/>
              <w:rPr>
                <w:szCs w:val="24"/>
              </w:rPr>
            </w:pPr>
            <w:r w:rsidRPr="0041442B">
              <w:rPr>
                <w:color w:val="000000"/>
                <w:sz w:val="22"/>
                <w:szCs w:val="22"/>
                <w:lang w:val="en-GB" w:eastAsia="en-GB"/>
              </w:rPr>
              <w:t>44%</w:t>
            </w:r>
          </w:p>
        </w:tc>
        <w:tc>
          <w:tcPr>
            <w:tcW w:w="496" w:type="pct"/>
            <w:tcBorders>
              <w:top w:val="nil"/>
              <w:left w:val="nil"/>
              <w:bottom w:val="nil"/>
              <w:right w:val="nil"/>
            </w:tcBorders>
            <w:vAlign w:val="bottom"/>
          </w:tcPr>
          <w:p w14:paraId="3A341BE0" w14:textId="599CB9F9" w:rsidR="009D7E9D" w:rsidRPr="004943CE" w:rsidRDefault="009D7E9D" w:rsidP="005844A7">
            <w:pPr>
              <w:spacing w:before="40"/>
              <w:rPr>
                <w:szCs w:val="24"/>
              </w:rPr>
            </w:pPr>
            <w:r w:rsidRPr="0041442B">
              <w:rPr>
                <w:color w:val="000000"/>
                <w:sz w:val="22"/>
                <w:szCs w:val="22"/>
                <w:lang w:val="en-GB" w:eastAsia="en-GB"/>
              </w:rPr>
              <w:t>11%</w:t>
            </w:r>
          </w:p>
        </w:tc>
        <w:tc>
          <w:tcPr>
            <w:tcW w:w="496" w:type="pct"/>
            <w:tcBorders>
              <w:top w:val="nil"/>
              <w:left w:val="nil"/>
              <w:bottom w:val="nil"/>
              <w:right w:val="nil"/>
            </w:tcBorders>
            <w:vAlign w:val="bottom"/>
          </w:tcPr>
          <w:p w14:paraId="7C1E406E" w14:textId="6C977A91" w:rsidR="009D7E9D" w:rsidRPr="004943CE" w:rsidRDefault="009D7E9D" w:rsidP="005844A7">
            <w:pPr>
              <w:spacing w:before="40"/>
              <w:rPr>
                <w:szCs w:val="24"/>
              </w:rPr>
            </w:pPr>
            <w:r w:rsidRPr="0041442B">
              <w:rPr>
                <w:color w:val="000000"/>
                <w:sz w:val="22"/>
                <w:szCs w:val="22"/>
                <w:lang w:val="en-GB" w:eastAsia="en-GB"/>
              </w:rPr>
              <w:t>22%</w:t>
            </w:r>
          </w:p>
        </w:tc>
        <w:tc>
          <w:tcPr>
            <w:tcW w:w="495" w:type="pct"/>
            <w:tcBorders>
              <w:top w:val="nil"/>
              <w:left w:val="nil"/>
              <w:bottom w:val="nil"/>
              <w:right w:val="nil"/>
            </w:tcBorders>
            <w:vAlign w:val="bottom"/>
          </w:tcPr>
          <w:p w14:paraId="2F9AB6EB" w14:textId="0A460936" w:rsidR="009D7E9D" w:rsidRPr="004943CE" w:rsidRDefault="009D7E9D" w:rsidP="005844A7">
            <w:pPr>
              <w:spacing w:before="40"/>
              <w:rPr>
                <w:szCs w:val="24"/>
              </w:rPr>
            </w:pPr>
            <w:r w:rsidRPr="0041442B">
              <w:rPr>
                <w:color w:val="000000"/>
                <w:sz w:val="22"/>
                <w:szCs w:val="22"/>
                <w:lang w:val="en-GB" w:eastAsia="en-GB"/>
              </w:rPr>
              <w:t>11%</w:t>
            </w:r>
          </w:p>
        </w:tc>
        <w:tc>
          <w:tcPr>
            <w:tcW w:w="496" w:type="pct"/>
            <w:tcBorders>
              <w:top w:val="nil"/>
              <w:left w:val="nil"/>
              <w:bottom w:val="nil"/>
              <w:right w:val="nil"/>
            </w:tcBorders>
            <w:vAlign w:val="bottom"/>
          </w:tcPr>
          <w:p w14:paraId="5D68320E" w14:textId="3BDC0BBF" w:rsidR="009D7E9D" w:rsidRPr="004943CE" w:rsidRDefault="009D7E9D" w:rsidP="005844A7">
            <w:pPr>
              <w:spacing w:before="40"/>
              <w:rPr>
                <w:szCs w:val="24"/>
              </w:rPr>
            </w:pPr>
            <w:r w:rsidRPr="0041442B">
              <w:rPr>
                <w:color w:val="000000"/>
                <w:sz w:val="22"/>
                <w:szCs w:val="22"/>
                <w:lang w:val="en-GB" w:eastAsia="en-GB"/>
              </w:rPr>
              <w:t>56%</w:t>
            </w:r>
          </w:p>
        </w:tc>
        <w:tc>
          <w:tcPr>
            <w:tcW w:w="496" w:type="pct"/>
            <w:tcBorders>
              <w:top w:val="nil"/>
              <w:left w:val="nil"/>
              <w:bottom w:val="nil"/>
              <w:right w:val="nil"/>
            </w:tcBorders>
            <w:vAlign w:val="bottom"/>
          </w:tcPr>
          <w:p w14:paraId="01553761" w14:textId="03BB81E5" w:rsidR="009D7E9D" w:rsidRPr="004943CE" w:rsidRDefault="009D7E9D" w:rsidP="005844A7">
            <w:pPr>
              <w:spacing w:before="40"/>
              <w:rPr>
                <w:szCs w:val="24"/>
              </w:rPr>
            </w:pPr>
            <w:r w:rsidRPr="0041442B">
              <w:rPr>
                <w:color w:val="000000"/>
                <w:sz w:val="22"/>
                <w:szCs w:val="22"/>
                <w:lang w:val="en-GB" w:eastAsia="en-GB"/>
              </w:rPr>
              <w:t>33%</w:t>
            </w:r>
          </w:p>
        </w:tc>
      </w:tr>
      <w:tr w:rsidR="009D7E9D" w:rsidRPr="004943CE" w14:paraId="6A3019BB" w14:textId="77777777" w:rsidTr="00D82F64">
        <w:trPr>
          <w:trHeight w:val="300"/>
          <w:jc w:val="center"/>
        </w:trPr>
        <w:tc>
          <w:tcPr>
            <w:tcW w:w="1037" w:type="pct"/>
            <w:tcBorders>
              <w:top w:val="nil"/>
              <w:left w:val="nil"/>
              <w:bottom w:val="nil"/>
              <w:right w:val="nil"/>
            </w:tcBorders>
            <w:vAlign w:val="bottom"/>
          </w:tcPr>
          <w:p w14:paraId="110592F4" w14:textId="4B72EA0F" w:rsidR="009D7E9D" w:rsidRPr="004943CE" w:rsidRDefault="009D7E9D" w:rsidP="005844A7">
            <w:pPr>
              <w:spacing w:before="40"/>
              <w:rPr>
                <w:szCs w:val="24"/>
              </w:rPr>
            </w:pPr>
            <w:r w:rsidRPr="0041442B">
              <w:rPr>
                <w:color w:val="000000"/>
                <w:sz w:val="22"/>
                <w:szCs w:val="22"/>
                <w:lang w:val="en-GB" w:eastAsia="en-GB"/>
              </w:rPr>
              <w:t>South-Eastern Asia</w:t>
            </w:r>
          </w:p>
        </w:tc>
        <w:tc>
          <w:tcPr>
            <w:tcW w:w="495" w:type="pct"/>
            <w:tcBorders>
              <w:top w:val="nil"/>
              <w:left w:val="nil"/>
              <w:bottom w:val="nil"/>
              <w:right w:val="nil"/>
            </w:tcBorders>
            <w:vAlign w:val="bottom"/>
          </w:tcPr>
          <w:p w14:paraId="1DE3420E" w14:textId="128A2050"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3269DB65" w14:textId="58064EE4"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22127009" w14:textId="050D52A7" w:rsidR="009D7E9D" w:rsidRPr="004943CE" w:rsidRDefault="009D7E9D" w:rsidP="005844A7">
            <w:pPr>
              <w:spacing w:before="40"/>
              <w:rPr>
                <w:szCs w:val="24"/>
              </w:rPr>
            </w:pPr>
            <w:r w:rsidRPr="0041442B">
              <w:rPr>
                <w:color w:val="000000"/>
                <w:sz w:val="22"/>
                <w:szCs w:val="22"/>
                <w:lang w:val="en-GB" w:eastAsia="en-GB"/>
              </w:rPr>
              <w:t>45%</w:t>
            </w:r>
          </w:p>
        </w:tc>
        <w:tc>
          <w:tcPr>
            <w:tcW w:w="496" w:type="pct"/>
            <w:tcBorders>
              <w:top w:val="nil"/>
              <w:left w:val="nil"/>
              <w:bottom w:val="nil"/>
              <w:right w:val="nil"/>
            </w:tcBorders>
            <w:vAlign w:val="bottom"/>
          </w:tcPr>
          <w:p w14:paraId="3860C18B" w14:textId="6B2891A1"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72EDB4C7" w14:textId="0E67B9D7"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243D3AD8" w14:textId="3C51133F" w:rsidR="009D7E9D" w:rsidRPr="004943CE" w:rsidRDefault="009D7E9D" w:rsidP="005844A7">
            <w:pPr>
              <w:spacing w:before="40"/>
              <w:rPr>
                <w:szCs w:val="24"/>
              </w:rPr>
            </w:pPr>
            <w:r w:rsidRPr="0041442B">
              <w:rPr>
                <w:color w:val="000000"/>
                <w:sz w:val="22"/>
                <w:szCs w:val="22"/>
                <w:lang w:val="en-GB" w:eastAsia="en-GB"/>
              </w:rPr>
              <w:t>36%</w:t>
            </w:r>
          </w:p>
        </w:tc>
        <w:tc>
          <w:tcPr>
            <w:tcW w:w="496" w:type="pct"/>
            <w:tcBorders>
              <w:top w:val="nil"/>
              <w:left w:val="nil"/>
              <w:bottom w:val="nil"/>
              <w:right w:val="nil"/>
            </w:tcBorders>
            <w:vAlign w:val="bottom"/>
          </w:tcPr>
          <w:p w14:paraId="5C073062" w14:textId="0D5C1CD3" w:rsidR="009D7E9D" w:rsidRPr="004943CE" w:rsidRDefault="009D7E9D" w:rsidP="005844A7">
            <w:pPr>
              <w:spacing w:before="40"/>
              <w:rPr>
                <w:szCs w:val="24"/>
              </w:rPr>
            </w:pPr>
            <w:r w:rsidRPr="0041442B">
              <w:rPr>
                <w:color w:val="000000"/>
                <w:sz w:val="22"/>
                <w:szCs w:val="22"/>
                <w:lang w:val="en-GB" w:eastAsia="en-GB"/>
              </w:rPr>
              <w:t>45%</w:t>
            </w:r>
          </w:p>
        </w:tc>
        <w:tc>
          <w:tcPr>
            <w:tcW w:w="496" w:type="pct"/>
            <w:tcBorders>
              <w:top w:val="nil"/>
              <w:left w:val="nil"/>
              <w:bottom w:val="nil"/>
              <w:right w:val="nil"/>
            </w:tcBorders>
            <w:vAlign w:val="bottom"/>
          </w:tcPr>
          <w:p w14:paraId="1AD7F71F" w14:textId="21CA8254"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70890D42" w14:textId="77777777" w:rsidTr="00D82F64">
        <w:trPr>
          <w:trHeight w:val="300"/>
          <w:jc w:val="center"/>
        </w:trPr>
        <w:tc>
          <w:tcPr>
            <w:tcW w:w="1037" w:type="pct"/>
            <w:tcBorders>
              <w:top w:val="nil"/>
              <w:left w:val="nil"/>
              <w:bottom w:val="nil"/>
              <w:right w:val="nil"/>
            </w:tcBorders>
            <w:vAlign w:val="bottom"/>
          </w:tcPr>
          <w:p w14:paraId="525800FC" w14:textId="70F6826A" w:rsidR="009D7E9D" w:rsidRPr="004943CE" w:rsidRDefault="009D7E9D" w:rsidP="005844A7">
            <w:pPr>
              <w:spacing w:before="40"/>
              <w:rPr>
                <w:szCs w:val="24"/>
              </w:rPr>
            </w:pPr>
            <w:r w:rsidRPr="0041442B">
              <w:rPr>
                <w:color w:val="000000"/>
                <w:sz w:val="22"/>
                <w:szCs w:val="22"/>
                <w:lang w:val="en-GB" w:eastAsia="en-GB"/>
              </w:rPr>
              <w:t>Southern Europe</w:t>
            </w:r>
          </w:p>
        </w:tc>
        <w:tc>
          <w:tcPr>
            <w:tcW w:w="495" w:type="pct"/>
            <w:tcBorders>
              <w:top w:val="nil"/>
              <w:left w:val="nil"/>
              <w:bottom w:val="nil"/>
              <w:right w:val="nil"/>
            </w:tcBorders>
            <w:vAlign w:val="bottom"/>
          </w:tcPr>
          <w:p w14:paraId="152AAC86" w14:textId="3BF61BA9" w:rsidR="009D7E9D" w:rsidRPr="004943CE" w:rsidRDefault="009D7E9D" w:rsidP="005844A7">
            <w:pPr>
              <w:spacing w:before="40"/>
              <w:rPr>
                <w:szCs w:val="24"/>
              </w:rPr>
            </w:pPr>
            <w:r w:rsidRPr="0041442B">
              <w:rPr>
                <w:color w:val="000000"/>
                <w:sz w:val="22"/>
                <w:szCs w:val="22"/>
                <w:lang w:val="en-GB" w:eastAsia="en-GB"/>
              </w:rPr>
              <w:t>23%</w:t>
            </w:r>
          </w:p>
        </w:tc>
        <w:tc>
          <w:tcPr>
            <w:tcW w:w="496" w:type="pct"/>
            <w:tcBorders>
              <w:top w:val="nil"/>
              <w:left w:val="nil"/>
              <w:bottom w:val="nil"/>
              <w:right w:val="nil"/>
            </w:tcBorders>
            <w:vAlign w:val="bottom"/>
          </w:tcPr>
          <w:p w14:paraId="21295684" w14:textId="6B9005AC"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49E8C485" w14:textId="0F368B2D" w:rsidR="009D7E9D" w:rsidRPr="004943CE" w:rsidRDefault="009D7E9D" w:rsidP="005844A7">
            <w:pPr>
              <w:spacing w:before="40"/>
              <w:rPr>
                <w:szCs w:val="24"/>
              </w:rPr>
            </w:pPr>
            <w:r w:rsidRPr="0041442B">
              <w:rPr>
                <w:color w:val="000000"/>
                <w:sz w:val="22"/>
                <w:szCs w:val="22"/>
                <w:lang w:val="en-GB" w:eastAsia="en-GB"/>
              </w:rPr>
              <w:t>31%</w:t>
            </w:r>
          </w:p>
        </w:tc>
        <w:tc>
          <w:tcPr>
            <w:tcW w:w="496" w:type="pct"/>
            <w:tcBorders>
              <w:top w:val="nil"/>
              <w:left w:val="nil"/>
              <w:bottom w:val="nil"/>
              <w:right w:val="nil"/>
            </w:tcBorders>
            <w:vAlign w:val="bottom"/>
          </w:tcPr>
          <w:p w14:paraId="01C7EF7F" w14:textId="3A860235" w:rsidR="009D7E9D" w:rsidRPr="004943CE" w:rsidRDefault="009D7E9D" w:rsidP="005844A7">
            <w:pPr>
              <w:spacing w:before="40"/>
              <w:rPr>
                <w:szCs w:val="24"/>
              </w:rPr>
            </w:pPr>
            <w:r w:rsidRPr="0041442B">
              <w:rPr>
                <w:color w:val="000000"/>
                <w:sz w:val="22"/>
                <w:szCs w:val="22"/>
                <w:lang w:val="en-GB" w:eastAsia="en-GB"/>
              </w:rPr>
              <w:t>23%</w:t>
            </w:r>
          </w:p>
        </w:tc>
        <w:tc>
          <w:tcPr>
            <w:tcW w:w="496" w:type="pct"/>
            <w:tcBorders>
              <w:top w:val="nil"/>
              <w:left w:val="nil"/>
              <w:bottom w:val="nil"/>
              <w:right w:val="nil"/>
            </w:tcBorders>
            <w:vAlign w:val="bottom"/>
          </w:tcPr>
          <w:p w14:paraId="6E3B920F" w14:textId="420F8252" w:rsidR="009D7E9D" w:rsidRPr="004943CE" w:rsidRDefault="009D7E9D" w:rsidP="005844A7">
            <w:pPr>
              <w:spacing w:before="40"/>
              <w:rPr>
                <w:szCs w:val="24"/>
              </w:rPr>
            </w:pPr>
            <w:r w:rsidRPr="0041442B">
              <w:rPr>
                <w:color w:val="000000"/>
                <w:sz w:val="22"/>
                <w:szCs w:val="22"/>
                <w:lang w:val="en-GB" w:eastAsia="en-GB"/>
              </w:rPr>
              <w:t>23%</w:t>
            </w:r>
          </w:p>
        </w:tc>
        <w:tc>
          <w:tcPr>
            <w:tcW w:w="495" w:type="pct"/>
            <w:tcBorders>
              <w:top w:val="nil"/>
              <w:left w:val="nil"/>
              <w:bottom w:val="nil"/>
              <w:right w:val="nil"/>
            </w:tcBorders>
            <w:vAlign w:val="bottom"/>
          </w:tcPr>
          <w:p w14:paraId="7E5F28C2" w14:textId="6807602C" w:rsidR="009D7E9D" w:rsidRPr="004943CE" w:rsidRDefault="009D7E9D" w:rsidP="005844A7">
            <w:pPr>
              <w:spacing w:before="40"/>
              <w:rPr>
                <w:szCs w:val="24"/>
              </w:rPr>
            </w:pPr>
            <w:r w:rsidRPr="0041442B">
              <w:rPr>
                <w:color w:val="000000"/>
                <w:sz w:val="22"/>
                <w:szCs w:val="22"/>
                <w:lang w:val="en-GB" w:eastAsia="en-GB"/>
              </w:rPr>
              <w:t>31%</w:t>
            </w:r>
          </w:p>
        </w:tc>
        <w:tc>
          <w:tcPr>
            <w:tcW w:w="496" w:type="pct"/>
            <w:tcBorders>
              <w:top w:val="nil"/>
              <w:left w:val="nil"/>
              <w:bottom w:val="nil"/>
              <w:right w:val="nil"/>
            </w:tcBorders>
            <w:vAlign w:val="bottom"/>
          </w:tcPr>
          <w:p w14:paraId="23AB8D0B" w14:textId="7E0176C2" w:rsidR="009D7E9D" w:rsidRPr="004943CE" w:rsidRDefault="009D7E9D" w:rsidP="005844A7">
            <w:pPr>
              <w:spacing w:before="40"/>
              <w:rPr>
                <w:szCs w:val="24"/>
              </w:rPr>
            </w:pPr>
            <w:r w:rsidRPr="0041442B">
              <w:rPr>
                <w:color w:val="000000"/>
                <w:sz w:val="22"/>
                <w:szCs w:val="22"/>
                <w:lang w:val="en-GB" w:eastAsia="en-GB"/>
              </w:rPr>
              <w:t>38%</w:t>
            </w:r>
          </w:p>
        </w:tc>
        <w:tc>
          <w:tcPr>
            <w:tcW w:w="496" w:type="pct"/>
            <w:tcBorders>
              <w:top w:val="nil"/>
              <w:left w:val="nil"/>
              <w:bottom w:val="nil"/>
              <w:right w:val="nil"/>
            </w:tcBorders>
            <w:vAlign w:val="bottom"/>
          </w:tcPr>
          <w:p w14:paraId="074EAE80" w14:textId="1935FD92"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3FED6341" w14:textId="77777777" w:rsidTr="00D82F64">
        <w:trPr>
          <w:trHeight w:val="300"/>
          <w:jc w:val="center"/>
        </w:trPr>
        <w:tc>
          <w:tcPr>
            <w:tcW w:w="1037" w:type="pct"/>
            <w:tcBorders>
              <w:top w:val="nil"/>
              <w:left w:val="nil"/>
              <w:bottom w:val="nil"/>
              <w:right w:val="nil"/>
            </w:tcBorders>
            <w:vAlign w:val="bottom"/>
          </w:tcPr>
          <w:p w14:paraId="3D277F5C" w14:textId="474D7EB7" w:rsidR="009D7E9D" w:rsidRPr="004943CE" w:rsidRDefault="009D7E9D" w:rsidP="005844A7">
            <w:pPr>
              <w:spacing w:before="40"/>
              <w:rPr>
                <w:szCs w:val="24"/>
              </w:rPr>
            </w:pPr>
            <w:r w:rsidRPr="0041442B">
              <w:rPr>
                <w:color w:val="000000"/>
                <w:sz w:val="22"/>
                <w:szCs w:val="22"/>
                <w:lang w:val="en-GB" w:eastAsia="en-GB"/>
              </w:rPr>
              <w:t>Australia &amp; New Zealand</w:t>
            </w:r>
          </w:p>
        </w:tc>
        <w:tc>
          <w:tcPr>
            <w:tcW w:w="495" w:type="pct"/>
            <w:tcBorders>
              <w:top w:val="nil"/>
              <w:left w:val="nil"/>
              <w:bottom w:val="nil"/>
              <w:right w:val="nil"/>
            </w:tcBorders>
            <w:vAlign w:val="bottom"/>
          </w:tcPr>
          <w:p w14:paraId="2F4DC30A" w14:textId="0303008F"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55402F92" w14:textId="25392BC4"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1A6DE52F" w14:textId="1D50D26D"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04FDFA32" w14:textId="40A5705F"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1E73F388" w14:textId="25D4BF02"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6152780E" w14:textId="6DB0890A"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33D48E26" w14:textId="28863241"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7C5E1235" w14:textId="3F42B790"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5C87A70E" w14:textId="77777777" w:rsidTr="00D82F64">
        <w:trPr>
          <w:trHeight w:val="300"/>
          <w:jc w:val="center"/>
        </w:trPr>
        <w:tc>
          <w:tcPr>
            <w:tcW w:w="1037" w:type="pct"/>
            <w:tcBorders>
              <w:top w:val="nil"/>
              <w:left w:val="nil"/>
              <w:bottom w:val="nil"/>
              <w:right w:val="nil"/>
            </w:tcBorders>
            <w:vAlign w:val="bottom"/>
          </w:tcPr>
          <w:p w14:paraId="36A9C1D6" w14:textId="7D88E1E1" w:rsidR="009D7E9D" w:rsidRPr="004943CE" w:rsidRDefault="009D7E9D" w:rsidP="005844A7">
            <w:pPr>
              <w:spacing w:before="40"/>
              <w:rPr>
                <w:szCs w:val="24"/>
              </w:rPr>
            </w:pPr>
            <w:r w:rsidRPr="0041442B">
              <w:rPr>
                <w:color w:val="000000"/>
                <w:sz w:val="22"/>
                <w:szCs w:val="22"/>
                <w:lang w:val="en-GB" w:eastAsia="en-GB"/>
              </w:rPr>
              <w:t>Melanesia</w:t>
            </w:r>
          </w:p>
        </w:tc>
        <w:tc>
          <w:tcPr>
            <w:tcW w:w="495" w:type="pct"/>
            <w:tcBorders>
              <w:top w:val="nil"/>
              <w:left w:val="nil"/>
              <w:bottom w:val="nil"/>
              <w:right w:val="nil"/>
            </w:tcBorders>
            <w:vAlign w:val="bottom"/>
          </w:tcPr>
          <w:p w14:paraId="297DF673" w14:textId="074E7B63"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60646D19" w14:textId="68E0482C"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07BA3153" w14:textId="7F3DBD90"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0D02FD72" w14:textId="7E9E27A2"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46C1AC0C" w14:textId="14636877"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0EF21397" w14:textId="44AB6563"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77E6496A" w14:textId="7E5D5DBA"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589B653C" w14:textId="5EE1B5CF"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4824372F" w14:textId="77777777" w:rsidTr="00D82F64">
        <w:trPr>
          <w:trHeight w:val="300"/>
          <w:jc w:val="center"/>
        </w:trPr>
        <w:tc>
          <w:tcPr>
            <w:tcW w:w="1037" w:type="pct"/>
            <w:tcBorders>
              <w:top w:val="nil"/>
              <w:left w:val="nil"/>
              <w:bottom w:val="nil"/>
              <w:right w:val="nil"/>
            </w:tcBorders>
            <w:vAlign w:val="bottom"/>
          </w:tcPr>
          <w:p w14:paraId="5B20B261" w14:textId="1408AF2D" w:rsidR="009D7E9D" w:rsidRPr="004943CE" w:rsidRDefault="009D7E9D" w:rsidP="005844A7">
            <w:pPr>
              <w:spacing w:before="40"/>
              <w:rPr>
                <w:szCs w:val="24"/>
              </w:rPr>
            </w:pPr>
            <w:r w:rsidRPr="0041442B">
              <w:rPr>
                <w:color w:val="000000"/>
                <w:sz w:val="22"/>
                <w:szCs w:val="22"/>
                <w:lang w:val="en-GB" w:eastAsia="en-GB"/>
              </w:rPr>
              <w:t>Micronesia</w:t>
            </w:r>
          </w:p>
        </w:tc>
        <w:tc>
          <w:tcPr>
            <w:tcW w:w="495" w:type="pct"/>
            <w:tcBorders>
              <w:top w:val="nil"/>
              <w:left w:val="nil"/>
              <w:bottom w:val="nil"/>
              <w:right w:val="nil"/>
            </w:tcBorders>
            <w:vAlign w:val="bottom"/>
          </w:tcPr>
          <w:p w14:paraId="10681B77" w14:textId="2C35172F"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04F2711C" w14:textId="0BC724A5"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63EA0095" w14:textId="71D574C0"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232543ED" w14:textId="24ECED67"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67AB8EDF" w14:textId="305C4171"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3B94EE8F" w14:textId="5E47484B"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5B90ACDA" w14:textId="6FAD4095"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58441D48" w14:textId="64937E13"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30C5FDE3" w14:textId="77777777" w:rsidTr="00D82F64">
        <w:trPr>
          <w:trHeight w:val="300"/>
          <w:jc w:val="center"/>
        </w:trPr>
        <w:tc>
          <w:tcPr>
            <w:tcW w:w="1037" w:type="pct"/>
            <w:tcBorders>
              <w:top w:val="nil"/>
              <w:left w:val="nil"/>
              <w:bottom w:val="nil"/>
              <w:right w:val="nil"/>
            </w:tcBorders>
            <w:vAlign w:val="bottom"/>
          </w:tcPr>
          <w:p w14:paraId="3BF3285F" w14:textId="095898F7" w:rsidR="009D7E9D" w:rsidRPr="004943CE" w:rsidRDefault="009D7E9D" w:rsidP="005844A7">
            <w:pPr>
              <w:spacing w:before="40"/>
              <w:rPr>
                <w:szCs w:val="24"/>
              </w:rPr>
            </w:pPr>
            <w:r w:rsidRPr="0041442B">
              <w:rPr>
                <w:color w:val="000000"/>
                <w:sz w:val="22"/>
                <w:szCs w:val="22"/>
                <w:lang w:val="en-GB" w:eastAsia="en-GB"/>
              </w:rPr>
              <w:t>Polynesia</w:t>
            </w:r>
          </w:p>
        </w:tc>
        <w:tc>
          <w:tcPr>
            <w:tcW w:w="495" w:type="pct"/>
            <w:tcBorders>
              <w:top w:val="nil"/>
              <w:left w:val="nil"/>
              <w:bottom w:val="nil"/>
              <w:right w:val="nil"/>
            </w:tcBorders>
            <w:vAlign w:val="bottom"/>
          </w:tcPr>
          <w:p w14:paraId="7A608E76" w14:textId="26F0EB16"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65464FC8" w14:textId="03777D0B"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556FA2B7" w14:textId="1A04BE81"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36C2385F" w14:textId="430D147C"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53F971F2" w14:textId="67D7A6AC"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23953E29" w14:textId="5721F537"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2F7E7E4B" w14:textId="4CC92BED"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22BFBD18" w14:textId="5CA700FB"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699A771E" w14:textId="77777777" w:rsidTr="00D82F64">
        <w:trPr>
          <w:trHeight w:val="300"/>
          <w:jc w:val="center"/>
        </w:trPr>
        <w:tc>
          <w:tcPr>
            <w:tcW w:w="1037" w:type="pct"/>
            <w:tcBorders>
              <w:top w:val="nil"/>
              <w:left w:val="nil"/>
              <w:bottom w:val="nil"/>
              <w:right w:val="nil"/>
            </w:tcBorders>
            <w:vAlign w:val="bottom"/>
          </w:tcPr>
          <w:p w14:paraId="6DBF1A54" w14:textId="0DDD8DE1" w:rsidR="009D7E9D" w:rsidRPr="004943CE" w:rsidRDefault="009D7E9D" w:rsidP="005844A7">
            <w:pPr>
              <w:spacing w:before="40"/>
              <w:rPr>
                <w:szCs w:val="24"/>
              </w:rPr>
            </w:pPr>
            <w:r w:rsidRPr="0041442B">
              <w:rPr>
                <w:color w:val="000000"/>
                <w:sz w:val="22"/>
                <w:szCs w:val="22"/>
                <w:lang w:val="en-GB" w:eastAsia="en-GB"/>
              </w:rPr>
              <w:t>Central Asia</w:t>
            </w:r>
          </w:p>
        </w:tc>
        <w:tc>
          <w:tcPr>
            <w:tcW w:w="495" w:type="pct"/>
            <w:tcBorders>
              <w:top w:val="nil"/>
              <w:left w:val="nil"/>
              <w:bottom w:val="nil"/>
              <w:right w:val="nil"/>
            </w:tcBorders>
            <w:vAlign w:val="bottom"/>
          </w:tcPr>
          <w:p w14:paraId="5761F922" w14:textId="0798AB69" w:rsidR="009D7E9D" w:rsidRPr="004943CE" w:rsidRDefault="009D7E9D" w:rsidP="005844A7">
            <w:pPr>
              <w:spacing w:before="40"/>
              <w:rPr>
                <w:szCs w:val="24"/>
              </w:rPr>
            </w:pPr>
            <w:r w:rsidRPr="0041442B">
              <w:rPr>
                <w:color w:val="000000"/>
                <w:sz w:val="22"/>
                <w:szCs w:val="22"/>
                <w:lang w:val="en-GB" w:eastAsia="en-GB"/>
              </w:rPr>
              <w:t>20%</w:t>
            </w:r>
          </w:p>
        </w:tc>
        <w:tc>
          <w:tcPr>
            <w:tcW w:w="496" w:type="pct"/>
            <w:tcBorders>
              <w:top w:val="nil"/>
              <w:left w:val="nil"/>
              <w:bottom w:val="nil"/>
              <w:right w:val="nil"/>
            </w:tcBorders>
            <w:vAlign w:val="bottom"/>
          </w:tcPr>
          <w:p w14:paraId="649F677D" w14:textId="06F4973E"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525213F4" w14:textId="705ACC8F"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31D466E9" w14:textId="66667C23" w:rsidR="009D7E9D" w:rsidRPr="004943CE" w:rsidRDefault="009D7E9D" w:rsidP="005844A7">
            <w:pPr>
              <w:spacing w:before="40"/>
              <w:rPr>
                <w:szCs w:val="24"/>
              </w:rPr>
            </w:pPr>
            <w:r w:rsidRPr="0041442B">
              <w:rPr>
                <w:color w:val="000000"/>
                <w:sz w:val="22"/>
                <w:szCs w:val="22"/>
                <w:lang w:val="en-GB" w:eastAsia="en-GB"/>
              </w:rPr>
              <w:t>80%</w:t>
            </w:r>
          </w:p>
        </w:tc>
        <w:tc>
          <w:tcPr>
            <w:tcW w:w="496" w:type="pct"/>
            <w:tcBorders>
              <w:top w:val="nil"/>
              <w:left w:val="nil"/>
              <w:bottom w:val="nil"/>
              <w:right w:val="nil"/>
            </w:tcBorders>
            <w:vAlign w:val="bottom"/>
          </w:tcPr>
          <w:p w14:paraId="3C7CC85E" w14:textId="04B54407"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1A1FA22E" w14:textId="38FF76F1" w:rsidR="009D7E9D" w:rsidRPr="004943CE" w:rsidRDefault="009D7E9D" w:rsidP="005844A7">
            <w:pPr>
              <w:spacing w:before="40"/>
              <w:rPr>
                <w:szCs w:val="24"/>
              </w:rPr>
            </w:pPr>
            <w:r w:rsidRPr="0041442B">
              <w:rPr>
                <w:color w:val="000000"/>
                <w:sz w:val="22"/>
                <w:szCs w:val="22"/>
                <w:lang w:val="en-GB" w:eastAsia="en-GB"/>
              </w:rPr>
              <w:t>80%</w:t>
            </w:r>
          </w:p>
        </w:tc>
        <w:tc>
          <w:tcPr>
            <w:tcW w:w="496" w:type="pct"/>
            <w:tcBorders>
              <w:top w:val="nil"/>
              <w:left w:val="nil"/>
              <w:bottom w:val="nil"/>
              <w:right w:val="nil"/>
            </w:tcBorders>
            <w:vAlign w:val="bottom"/>
          </w:tcPr>
          <w:p w14:paraId="4A9D84FE" w14:textId="3B82D072"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1803ECA7" w14:textId="2483778A"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61B6642A" w14:textId="77777777" w:rsidTr="00D82F64">
        <w:trPr>
          <w:trHeight w:val="300"/>
          <w:jc w:val="center"/>
        </w:trPr>
        <w:tc>
          <w:tcPr>
            <w:tcW w:w="1037" w:type="pct"/>
            <w:tcBorders>
              <w:top w:val="nil"/>
              <w:left w:val="nil"/>
              <w:bottom w:val="nil"/>
              <w:right w:val="nil"/>
            </w:tcBorders>
            <w:vAlign w:val="bottom"/>
          </w:tcPr>
          <w:p w14:paraId="65D8996E" w14:textId="628D9F9B" w:rsidR="009D7E9D" w:rsidRPr="004943CE" w:rsidRDefault="009D7E9D" w:rsidP="005844A7">
            <w:pPr>
              <w:spacing w:before="40"/>
              <w:rPr>
                <w:szCs w:val="24"/>
              </w:rPr>
            </w:pPr>
            <w:r w:rsidRPr="0041442B">
              <w:rPr>
                <w:color w:val="000000"/>
                <w:sz w:val="22"/>
                <w:szCs w:val="22"/>
                <w:lang w:val="en-GB" w:eastAsia="en-GB"/>
              </w:rPr>
              <w:t>Western Asia</w:t>
            </w:r>
          </w:p>
        </w:tc>
        <w:tc>
          <w:tcPr>
            <w:tcW w:w="495" w:type="pct"/>
            <w:tcBorders>
              <w:top w:val="nil"/>
              <w:left w:val="nil"/>
              <w:bottom w:val="nil"/>
              <w:right w:val="nil"/>
            </w:tcBorders>
            <w:vAlign w:val="bottom"/>
          </w:tcPr>
          <w:p w14:paraId="41830181" w14:textId="6E30D92B" w:rsidR="009D7E9D" w:rsidRPr="004943CE" w:rsidRDefault="009D7E9D" w:rsidP="005844A7">
            <w:pPr>
              <w:spacing w:before="40"/>
              <w:rPr>
                <w:szCs w:val="24"/>
              </w:rPr>
            </w:pPr>
            <w:r w:rsidRPr="0041442B">
              <w:rPr>
                <w:color w:val="000000"/>
                <w:sz w:val="22"/>
                <w:szCs w:val="22"/>
                <w:lang w:val="en-GB" w:eastAsia="en-GB"/>
              </w:rPr>
              <w:t>6%</w:t>
            </w:r>
          </w:p>
        </w:tc>
        <w:tc>
          <w:tcPr>
            <w:tcW w:w="496" w:type="pct"/>
            <w:tcBorders>
              <w:top w:val="nil"/>
              <w:left w:val="nil"/>
              <w:bottom w:val="nil"/>
              <w:right w:val="nil"/>
            </w:tcBorders>
            <w:vAlign w:val="bottom"/>
          </w:tcPr>
          <w:p w14:paraId="59DD84F5" w14:textId="63083AFC"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224295B4" w14:textId="4DCBB2D5" w:rsidR="009D7E9D" w:rsidRPr="004943CE" w:rsidRDefault="009D7E9D" w:rsidP="005844A7">
            <w:pPr>
              <w:spacing w:before="40"/>
              <w:rPr>
                <w:szCs w:val="24"/>
              </w:rPr>
            </w:pPr>
            <w:r w:rsidRPr="0041442B">
              <w:rPr>
                <w:color w:val="000000"/>
                <w:sz w:val="22"/>
                <w:szCs w:val="22"/>
                <w:lang w:val="en-GB" w:eastAsia="en-GB"/>
              </w:rPr>
              <w:t>33%</w:t>
            </w:r>
          </w:p>
        </w:tc>
        <w:tc>
          <w:tcPr>
            <w:tcW w:w="496" w:type="pct"/>
            <w:tcBorders>
              <w:top w:val="nil"/>
              <w:left w:val="nil"/>
              <w:bottom w:val="nil"/>
              <w:right w:val="nil"/>
            </w:tcBorders>
            <w:vAlign w:val="bottom"/>
          </w:tcPr>
          <w:p w14:paraId="6F75E70A" w14:textId="1A9874B1" w:rsidR="009D7E9D" w:rsidRPr="004943CE" w:rsidRDefault="009D7E9D" w:rsidP="005844A7">
            <w:pPr>
              <w:spacing w:before="40"/>
              <w:rPr>
                <w:szCs w:val="24"/>
              </w:rPr>
            </w:pPr>
            <w:r w:rsidRPr="0041442B">
              <w:rPr>
                <w:color w:val="000000"/>
                <w:sz w:val="22"/>
                <w:szCs w:val="22"/>
                <w:lang w:val="en-GB" w:eastAsia="en-GB"/>
              </w:rPr>
              <w:t>33%</w:t>
            </w:r>
          </w:p>
        </w:tc>
        <w:tc>
          <w:tcPr>
            <w:tcW w:w="496" w:type="pct"/>
            <w:tcBorders>
              <w:top w:val="nil"/>
              <w:left w:val="nil"/>
              <w:bottom w:val="nil"/>
              <w:right w:val="nil"/>
            </w:tcBorders>
            <w:vAlign w:val="bottom"/>
          </w:tcPr>
          <w:p w14:paraId="192D63DF" w14:textId="65C15F93" w:rsidR="009D7E9D" w:rsidRPr="004943CE" w:rsidRDefault="009D7E9D" w:rsidP="005844A7">
            <w:pPr>
              <w:spacing w:before="40"/>
              <w:rPr>
                <w:szCs w:val="24"/>
              </w:rPr>
            </w:pPr>
            <w:r w:rsidRPr="0041442B">
              <w:rPr>
                <w:color w:val="000000"/>
                <w:sz w:val="22"/>
                <w:szCs w:val="22"/>
                <w:lang w:val="en-GB" w:eastAsia="en-GB"/>
              </w:rPr>
              <w:t>28%</w:t>
            </w:r>
          </w:p>
        </w:tc>
        <w:tc>
          <w:tcPr>
            <w:tcW w:w="495" w:type="pct"/>
            <w:tcBorders>
              <w:top w:val="nil"/>
              <w:left w:val="nil"/>
              <w:bottom w:val="nil"/>
              <w:right w:val="nil"/>
            </w:tcBorders>
            <w:vAlign w:val="bottom"/>
          </w:tcPr>
          <w:p w14:paraId="7D5D1170" w14:textId="467C69DC" w:rsidR="009D7E9D" w:rsidRPr="004943CE" w:rsidRDefault="009D7E9D" w:rsidP="005844A7">
            <w:pPr>
              <w:spacing w:before="40"/>
              <w:rPr>
                <w:szCs w:val="24"/>
              </w:rPr>
            </w:pPr>
            <w:r w:rsidRPr="0041442B">
              <w:rPr>
                <w:color w:val="000000"/>
                <w:sz w:val="22"/>
                <w:szCs w:val="22"/>
                <w:lang w:val="en-GB" w:eastAsia="en-GB"/>
              </w:rPr>
              <w:t>33%</w:t>
            </w:r>
          </w:p>
        </w:tc>
        <w:tc>
          <w:tcPr>
            <w:tcW w:w="496" w:type="pct"/>
            <w:tcBorders>
              <w:top w:val="nil"/>
              <w:left w:val="nil"/>
              <w:bottom w:val="nil"/>
              <w:right w:val="nil"/>
            </w:tcBorders>
            <w:vAlign w:val="bottom"/>
          </w:tcPr>
          <w:p w14:paraId="7672F510" w14:textId="2DF6067F" w:rsidR="009D7E9D" w:rsidRPr="004943CE" w:rsidRDefault="009D7E9D" w:rsidP="005844A7">
            <w:pPr>
              <w:spacing w:before="40"/>
              <w:rPr>
                <w:szCs w:val="24"/>
              </w:rPr>
            </w:pPr>
            <w:r w:rsidRPr="0041442B">
              <w:rPr>
                <w:color w:val="000000"/>
                <w:sz w:val="22"/>
                <w:szCs w:val="22"/>
                <w:lang w:val="en-GB" w:eastAsia="en-GB"/>
              </w:rPr>
              <w:t>50%</w:t>
            </w:r>
          </w:p>
        </w:tc>
        <w:tc>
          <w:tcPr>
            <w:tcW w:w="496" w:type="pct"/>
            <w:tcBorders>
              <w:top w:val="nil"/>
              <w:left w:val="nil"/>
              <w:bottom w:val="nil"/>
              <w:right w:val="nil"/>
            </w:tcBorders>
            <w:vAlign w:val="bottom"/>
          </w:tcPr>
          <w:p w14:paraId="33305EEC" w14:textId="52640D5A" w:rsidR="009D7E9D" w:rsidRPr="004943CE" w:rsidRDefault="009D7E9D" w:rsidP="005844A7">
            <w:pPr>
              <w:spacing w:before="40"/>
              <w:rPr>
                <w:szCs w:val="24"/>
              </w:rPr>
            </w:pPr>
            <w:r w:rsidRPr="0041442B">
              <w:rPr>
                <w:color w:val="000000"/>
                <w:sz w:val="22"/>
                <w:szCs w:val="22"/>
                <w:lang w:val="en-GB" w:eastAsia="en-GB"/>
              </w:rPr>
              <w:t>6%</w:t>
            </w:r>
          </w:p>
        </w:tc>
      </w:tr>
      <w:tr w:rsidR="009D7E9D" w:rsidRPr="004943CE" w14:paraId="75CA522A" w14:textId="77777777" w:rsidTr="00D82F64">
        <w:trPr>
          <w:trHeight w:val="300"/>
          <w:jc w:val="center"/>
        </w:trPr>
        <w:tc>
          <w:tcPr>
            <w:tcW w:w="1037" w:type="pct"/>
            <w:tcBorders>
              <w:top w:val="nil"/>
              <w:left w:val="nil"/>
              <w:bottom w:val="nil"/>
              <w:right w:val="nil"/>
            </w:tcBorders>
            <w:vAlign w:val="bottom"/>
          </w:tcPr>
          <w:p w14:paraId="45DF9FA0" w14:textId="63612004" w:rsidR="009D7E9D" w:rsidRPr="004943CE" w:rsidRDefault="009D7E9D" w:rsidP="005844A7">
            <w:pPr>
              <w:spacing w:before="40"/>
              <w:rPr>
                <w:szCs w:val="24"/>
              </w:rPr>
            </w:pPr>
            <w:r w:rsidRPr="0041442B">
              <w:rPr>
                <w:color w:val="000000"/>
                <w:sz w:val="22"/>
                <w:szCs w:val="22"/>
                <w:lang w:val="en-GB" w:eastAsia="en-GB"/>
              </w:rPr>
              <w:t>Eastern Europe</w:t>
            </w:r>
          </w:p>
        </w:tc>
        <w:tc>
          <w:tcPr>
            <w:tcW w:w="495" w:type="pct"/>
            <w:tcBorders>
              <w:top w:val="nil"/>
              <w:left w:val="nil"/>
              <w:bottom w:val="nil"/>
              <w:right w:val="nil"/>
            </w:tcBorders>
            <w:vAlign w:val="bottom"/>
          </w:tcPr>
          <w:p w14:paraId="2EFB96D1" w14:textId="20162FFE" w:rsidR="009D7E9D" w:rsidRPr="004943CE" w:rsidRDefault="009D7E9D" w:rsidP="005844A7">
            <w:pPr>
              <w:spacing w:before="40"/>
              <w:rPr>
                <w:szCs w:val="24"/>
              </w:rPr>
            </w:pPr>
            <w:r w:rsidRPr="0041442B">
              <w:rPr>
                <w:color w:val="000000"/>
                <w:sz w:val="22"/>
                <w:szCs w:val="22"/>
                <w:lang w:val="en-GB" w:eastAsia="en-GB"/>
              </w:rPr>
              <w:t>70%</w:t>
            </w:r>
          </w:p>
        </w:tc>
        <w:tc>
          <w:tcPr>
            <w:tcW w:w="496" w:type="pct"/>
            <w:tcBorders>
              <w:top w:val="nil"/>
              <w:left w:val="nil"/>
              <w:bottom w:val="nil"/>
              <w:right w:val="nil"/>
            </w:tcBorders>
            <w:vAlign w:val="bottom"/>
          </w:tcPr>
          <w:p w14:paraId="04D593AA" w14:textId="0E3BE464" w:rsidR="009D7E9D" w:rsidRPr="004943CE" w:rsidRDefault="009D7E9D" w:rsidP="005844A7">
            <w:pPr>
              <w:spacing w:before="40"/>
              <w:rPr>
                <w:szCs w:val="24"/>
              </w:rPr>
            </w:pPr>
            <w:r w:rsidRPr="0041442B">
              <w:rPr>
                <w:color w:val="000000"/>
                <w:sz w:val="22"/>
                <w:szCs w:val="22"/>
                <w:lang w:val="en-GB" w:eastAsia="en-GB"/>
              </w:rPr>
              <w:t>20%</w:t>
            </w:r>
          </w:p>
        </w:tc>
        <w:tc>
          <w:tcPr>
            <w:tcW w:w="495" w:type="pct"/>
            <w:tcBorders>
              <w:top w:val="nil"/>
              <w:left w:val="nil"/>
              <w:bottom w:val="nil"/>
              <w:right w:val="nil"/>
            </w:tcBorders>
            <w:vAlign w:val="bottom"/>
          </w:tcPr>
          <w:p w14:paraId="108E9C08" w14:textId="2AB57DE3"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4A048605" w14:textId="0FAB31BA" w:rsidR="009D7E9D" w:rsidRPr="004943CE" w:rsidRDefault="009D7E9D" w:rsidP="005844A7">
            <w:pPr>
              <w:spacing w:before="40"/>
              <w:rPr>
                <w:szCs w:val="24"/>
              </w:rPr>
            </w:pPr>
            <w:r w:rsidRPr="0041442B">
              <w:rPr>
                <w:color w:val="000000"/>
                <w:sz w:val="22"/>
                <w:szCs w:val="22"/>
                <w:lang w:val="en-GB" w:eastAsia="en-GB"/>
              </w:rPr>
              <w:t>90%</w:t>
            </w:r>
          </w:p>
        </w:tc>
        <w:tc>
          <w:tcPr>
            <w:tcW w:w="496" w:type="pct"/>
            <w:tcBorders>
              <w:top w:val="nil"/>
              <w:left w:val="nil"/>
              <w:bottom w:val="nil"/>
              <w:right w:val="nil"/>
            </w:tcBorders>
            <w:vAlign w:val="bottom"/>
          </w:tcPr>
          <w:p w14:paraId="2A96409D" w14:textId="359F7241" w:rsidR="009D7E9D" w:rsidRPr="004943CE" w:rsidRDefault="009D7E9D" w:rsidP="005844A7">
            <w:pPr>
              <w:spacing w:before="40"/>
              <w:rPr>
                <w:szCs w:val="24"/>
              </w:rPr>
            </w:pPr>
            <w:r w:rsidRPr="0041442B">
              <w:rPr>
                <w:color w:val="000000"/>
                <w:sz w:val="22"/>
                <w:szCs w:val="22"/>
                <w:lang w:val="en-GB" w:eastAsia="en-GB"/>
              </w:rPr>
              <w:t>60%</w:t>
            </w:r>
          </w:p>
        </w:tc>
        <w:tc>
          <w:tcPr>
            <w:tcW w:w="495" w:type="pct"/>
            <w:tcBorders>
              <w:top w:val="nil"/>
              <w:left w:val="nil"/>
              <w:bottom w:val="nil"/>
              <w:right w:val="nil"/>
            </w:tcBorders>
            <w:vAlign w:val="bottom"/>
          </w:tcPr>
          <w:p w14:paraId="613995DC" w14:textId="40EEFE9B"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7936F60E" w14:textId="2BAA55BA" w:rsidR="009D7E9D" w:rsidRPr="004943CE" w:rsidRDefault="009D7E9D" w:rsidP="005844A7">
            <w:pPr>
              <w:spacing w:before="40"/>
              <w:rPr>
                <w:szCs w:val="24"/>
              </w:rPr>
            </w:pPr>
            <w:r w:rsidRPr="0041442B">
              <w:rPr>
                <w:color w:val="000000"/>
                <w:sz w:val="22"/>
                <w:szCs w:val="22"/>
                <w:lang w:val="en-GB" w:eastAsia="en-GB"/>
              </w:rPr>
              <w:t>100%</w:t>
            </w:r>
          </w:p>
        </w:tc>
        <w:tc>
          <w:tcPr>
            <w:tcW w:w="496" w:type="pct"/>
            <w:tcBorders>
              <w:top w:val="nil"/>
              <w:left w:val="nil"/>
              <w:bottom w:val="nil"/>
              <w:right w:val="nil"/>
            </w:tcBorders>
            <w:vAlign w:val="bottom"/>
          </w:tcPr>
          <w:p w14:paraId="4C8A6ED2" w14:textId="40A79D1B"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5E06425E" w14:textId="77777777" w:rsidTr="00D82F64">
        <w:trPr>
          <w:trHeight w:val="300"/>
          <w:jc w:val="center"/>
        </w:trPr>
        <w:tc>
          <w:tcPr>
            <w:tcW w:w="1037" w:type="pct"/>
            <w:tcBorders>
              <w:top w:val="nil"/>
              <w:left w:val="nil"/>
              <w:bottom w:val="nil"/>
              <w:right w:val="nil"/>
            </w:tcBorders>
            <w:vAlign w:val="bottom"/>
          </w:tcPr>
          <w:p w14:paraId="54A17F71" w14:textId="7942FB28" w:rsidR="009D7E9D" w:rsidRPr="004943CE" w:rsidRDefault="009D7E9D" w:rsidP="005844A7">
            <w:pPr>
              <w:spacing w:before="40"/>
              <w:rPr>
                <w:szCs w:val="24"/>
              </w:rPr>
            </w:pPr>
            <w:r w:rsidRPr="0041442B">
              <w:rPr>
                <w:color w:val="000000"/>
                <w:sz w:val="22"/>
                <w:szCs w:val="22"/>
                <w:lang w:val="en-GB" w:eastAsia="en-GB"/>
              </w:rPr>
              <w:t>Northern Europe</w:t>
            </w:r>
          </w:p>
        </w:tc>
        <w:tc>
          <w:tcPr>
            <w:tcW w:w="495" w:type="pct"/>
            <w:tcBorders>
              <w:top w:val="nil"/>
              <w:left w:val="nil"/>
              <w:bottom w:val="nil"/>
              <w:right w:val="nil"/>
            </w:tcBorders>
            <w:vAlign w:val="bottom"/>
          </w:tcPr>
          <w:p w14:paraId="52A2E90B" w14:textId="19AA3262" w:rsidR="009D7E9D" w:rsidRPr="004943CE" w:rsidRDefault="009D7E9D" w:rsidP="005844A7">
            <w:pPr>
              <w:spacing w:before="40"/>
              <w:rPr>
                <w:szCs w:val="24"/>
              </w:rPr>
            </w:pPr>
            <w:r w:rsidRPr="0041442B">
              <w:rPr>
                <w:color w:val="000000"/>
                <w:sz w:val="22"/>
                <w:szCs w:val="22"/>
                <w:lang w:val="en-GB" w:eastAsia="en-GB"/>
              </w:rPr>
              <w:t>7%</w:t>
            </w:r>
          </w:p>
        </w:tc>
        <w:tc>
          <w:tcPr>
            <w:tcW w:w="496" w:type="pct"/>
            <w:tcBorders>
              <w:top w:val="nil"/>
              <w:left w:val="nil"/>
              <w:bottom w:val="nil"/>
              <w:right w:val="nil"/>
            </w:tcBorders>
            <w:vAlign w:val="bottom"/>
          </w:tcPr>
          <w:p w14:paraId="4ED3206A" w14:textId="315B8F07"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148F5F0C" w14:textId="208AC694" w:rsidR="009D7E9D" w:rsidRPr="004943CE" w:rsidRDefault="009D7E9D" w:rsidP="005844A7">
            <w:pPr>
              <w:spacing w:before="40"/>
              <w:rPr>
                <w:szCs w:val="24"/>
              </w:rPr>
            </w:pPr>
            <w:r w:rsidRPr="0041442B">
              <w:rPr>
                <w:color w:val="000000"/>
                <w:sz w:val="22"/>
                <w:szCs w:val="22"/>
                <w:lang w:val="en-GB" w:eastAsia="en-GB"/>
              </w:rPr>
              <w:t>21%</w:t>
            </w:r>
          </w:p>
        </w:tc>
        <w:tc>
          <w:tcPr>
            <w:tcW w:w="496" w:type="pct"/>
            <w:tcBorders>
              <w:top w:val="nil"/>
              <w:left w:val="nil"/>
              <w:bottom w:val="nil"/>
              <w:right w:val="nil"/>
            </w:tcBorders>
            <w:vAlign w:val="bottom"/>
          </w:tcPr>
          <w:p w14:paraId="5B3E0F59" w14:textId="06F0D6BD" w:rsidR="009D7E9D" w:rsidRPr="004943CE" w:rsidRDefault="009D7E9D" w:rsidP="005844A7">
            <w:pPr>
              <w:spacing w:before="40"/>
              <w:rPr>
                <w:szCs w:val="24"/>
              </w:rPr>
            </w:pPr>
            <w:r w:rsidRPr="0041442B">
              <w:rPr>
                <w:color w:val="000000"/>
                <w:sz w:val="22"/>
                <w:szCs w:val="22"/>
                <w:lang w:val="en-GB" w:eastAsia="en-GB"/>
              </w:rPr>
              <w:t>21%</w:t>
            </w:r>
          </w:p>
        </w:tc>
        <w:tc>
          <w:tcPr>
            <w:tcW w:w="496" w:type="pct"/>
            <w:tcBorders>
              <w:top w:val="nil"/>
              <w:left w:val="nil"/>
              <w:bottom w:val="nil"/>
              <w:right w:val="nil"/>
            </w:tcBorders>
            <w:vAlign w:val="bottom"/>
          </w:tcPr>
          <w:p w14:paraId="76DFA7D0" w14:textId="606AC243" w:rsidR="009D7E9D" w:rsidRPr="004943CE" w:rsidRDefault="009D7E9D" w:rsidP="005844A7">
            <w:pPr>
              <w:spacing w:before="40"/>
              <w:rPr>
                <w:szCs w:val="24"/>
              </w:rPr>
            </w:pPr>
            <w:r w:rsidRPr="0041442B">
              <w:rPr>
                <w:color w:val="000000"/>
                <w:sz w:val="22"/>
                <w:szCs w:val="22"/>
                <w:lang w:val="en-GB" w:eastAsia="en-GB"/>
              </w:rPr>
              <w:t>14%</w:t>
            </w:r>
          </w:p>
        </w:tc>
        <w:tc>
          <w:tcPr>
            <w:tcW w:w="495" w:type="pct"/>
            <w:tcBorders>
              <w:top w:val="nil"/>
              <w:left w:val="nil"/>
              <w:bottom w:val="nil"/>
              <w:right w:val="nil"/>
            </w:tcBorders>
            <w:vAlign w:val="bottom"/>
          </w:tcPr>
          <w:p w14:paraId="7D35D8A2" w14:textId="7AAB679E" w:rsidR="009D7E9D" w:rsidRPr="004943CE" w:rsidRDefault="009D7E9D" w:rsidP="005844A7">
            <w:pPr>
              <w:spacing w:before="40"/>
              <w:rPr>
                <w:szCs w:val="24"/>
              </w:rPr>
            </w:pPr>
            <w:r w:rsidRPr="0041442B">
              <w:rPr>
                <w:color w:val="000000"/>
                <w:sz w:val="22"/>
                <w:szCs w:val="22"/>
                <w:lang w:val="en-GB" w:eastAsia="en-GB"/>
              </w:rPr>
              <w:t>21%</w:t>
            </w:r>
          </w:p>
        </w:tc>
        <w:tc>
          <w:tcPr>
            <w:tcW w:w="496" w:type="pct"/>
            <w:tcBorders>
              <w:top w:val="nil"/>
              <w:left w:val="nil"/>
              <w:bottom w:val="nil"/>
              <w:right w:val="nil"/>
            </w:tcBorders>
            <w:vAlign w:val="bottom"/>
          </w:tcPr>
          <w:p w14:paraId="15C4CBA5" w14:textId="1CB30C17" w:rsidR="009D7E9D" w:rsidRPr="004943CE" w:rsidRDefault="009D7E9D" w:rsidP="005844A7">
            <w:pPr>
              <w:spacing w:before="40"/>
              <w:rPr>
                <w:szCs w:val="24"/>
              </w:rPr>
            </w:pPr>
            <w:r w:rsidRPr="0041442B">
              <w:rPr>
                <w:color w:val="000000"/>
                <w:sz w:val="22"/>
                <w:szCs w:val="22"/>
                <w:lang w:val="en-GB" w:eastAsia="en-GB"/>
              </w:rPr>
              <w:t>21%</w:t>
            </w:r>
          </w:p>
        </w:tc>
        <w:tc>
          <w:tcPr>
            <w:tcW w:w="496" w:type="pct"/>
            <w:tcBorders>
              <w:top w:val="nil"/>
              <w:left w:val="nil"/>
              <w:bottom w:val="nil"/>
              <w:right w:val="nil"/>
            </w:tcBorders>
            <w:vAlign w:val="bottom"/>
          </w:tcPr>
          <w:p w14:paraId="39C5381B" w14:textId="1BE39338"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43EA0D4F" w14:textId="77777777" w:rsidTr="00D82F64">
        <w:trPr>
          <w:trHeight w:val="300"/>
          <w:jc w:val="center"/>
        </w:trPr>
        <w:tc>
          <w:tcPr>
            <w:tcW w:w="1037" w:type="pct"/>
            <w:tcBorders>
              <w:top w:val="nil"/>
              <w:left w:val="nil"/>
              <w:bottom w:val="nil"/>
              <w:right w:val="nil"/>
            </w:tcBorders>
            <w:vAlign w:val="bottom"/>
          </w:tcPr>
          <w:p w14:paraId="312CF2D5" w14:textId="04937C0D" w:rsidR="009D7E9D" w:rsidRPr="004943CE" w:rsidRDefault="009D7E9D" w:rsidP="005844A7">
            <w:pPr>
              <w:spacing w:before="40"/>
              <w:rPr>
                <w:szCs w:val="24"/>
              </w:rPr>
            </w:pPr>
            <w:r w:rsidRPr="0041442B">
              <w:rPr>
                <w:color w:val="000000"/>
                <w:sz w:val="22"/>
                <w:szCs w:val="22"/>
                <w:lang w:val="en-GB" w:eastAsia="en-GB"/>
              </w:rPr>
              <w:t>Western Europe</w:t>
            </w:r>
          </w:p>
        </w:tc>
        <w:tc>
          <w:tcPr>
            <w:tcW w:w="495" w:type="pct"/>
            <w:tcBorders>
              <w:top w:val="nil"/>
              <w:left w:val="nil"/>
              <w:bottom w:val="nil"/>
              <w:right w:val="nil"/>
            </w:tcBorders>
            <w:vAlign w:val="bottom"/>
          </w:tcPr>
          <w:p w14:paraId="246C9153" w14:textId="290AB4BF" w:rsidR="009D7E9D" w:rsidRPr="004943CE" w:rsidRDefault="009D7E9D" w:rsidP="005844A7">
            <w:pPr>
              <w:spacing w:before="40"/>
              <w:rPr>
                <w:szCs w:val="24"/>
              </w:rPr>
            </w:pPr>
            <w:r w:rsidRPr="0041442B">
              <w:rPr>
                <w:color w:val="000000"/>
                <w:sz w:val="22"/>
                <w:szCs w:val="22"/>
                <w:lang w:val="en-GB" w:eastAsia="en-GB"/>
              </w:rPr>
              <w:t>0%</w:t>
            </w:r>
          </w:p>
        </w:tc>
        <w:tc>
          <w:tcPr>
            <w:tcW w:w="496" w:type="pct"/>
            <w:tcBorders>
              <w:top w:val="nil"/>
              <w:left w:val="nil"/>
              <w:bottom w:val="nil"/>
              <w:right w:val="nil"/>
            </w:tcBorders>
            <w:vAlign w:val="bottom"/>
          </w:tcPr>
          <w:p w14:paraId="740FDC9D" w14:textId="1AC4DBCE"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1F8F6D78" w14:textId="0D312E34" w:rsidR="009D7E9D" w:rsidRPr="004943CE" w:rsidRDefault="009D7E9D" w:rsidP="005844A7">
            <w:pPr>
              <w:spacing w:before="40"/>
              <w:rPr>
                <w:szCs w:val="24"/>
              </w:rPr>
            </w:pPr>
            <w:r w:rsidRPr="0041442B">
              <w:rPr>
                <w:color w:val="000000"/>
                <w:sz w:val="22"/>
                <w:szCs w:val="22"/>
                <w:lang w:val="en-GB" w:eastAsia="en-GB"/>
              </w:rPr>
              <w:t>38%</w:t>
            </w:r>
          </w:p>
        </w:tc>
        <w:tc>
          <w:tcPr>
            <w:tcW w:w="496" w:type="pct"/>
            <w:tcBorders>
              <w:top w:val="nil"/>
              <w:left w:val="nil"/>
              <w:bottom w:val="nil"/>
              <w:right w:val="nil"/>
            </w:tcBorders>
            <w:vAlign w:val="bottom"/>
          </w:tcPr>
          <w:p w14:paraId="5C6766CA" w14:textId="32C6357E" w:rsidR="009D7E9D" w:rsidRPr="004943CE" w:rsidRDefault="009D7E9D" w:rsidP="005844A7">
            <w:pPr>
              <w:spacing w:before="40"/>
              <w:rPr>
                <w:szCs w:val="24"/>
              </w:rPr>
            </w:pPr>
            <w:r w:rsidRPr="0041442B">
              <w:rPr>
                <w:color w:val="000000"/>
                <w:sz w:val="22"/>
                <w:szCs w:val="22"/>
                <w:lang w:val="en-GB" w:eastAsia="en-GB"/>
              </w:rPr>
              <w:t>13%</w:t>
            </w:r>
          </w:p>
        </w:tc>
        <w:tc>
          <w:tcPr>
            <w:tcW w:w="496" w:type="pct"/>
            <w:tcBorders>
              <w:top w:val="nil"/>
              <w:left w:val="nil"/>
              <w:bottom w:val="nil"/>
              <w:right w:val="nil"/>
            </w:tcBorders>
            <w:vAlign w:val="bottom"/>
          </w:tcPr>
          <w:p w14:paraId="05DF3731" w14:textId="78FEE9E1" w:rsidR="009D7E9D" w:rsidRPr="004943CE" w:rsidRDefault="009D7E9D" w:rsidP="005844A7">
            <w:pPr>
              <w:spacing w:before="40"/>
              <w:rPr>
                <w:szCs w:val="24"/>
              </w:rPr>
            </w:pPr>
            <w:r w:rsidRPr="0041442B">
              <w:rPr>
                <w:color w:val="000000"/>
                <w:sz w:val="22"/>
                <w:szCs w:val="22"/>
                <w:lang w:val="en-GB" w:eastAsia="en-GB"/>
              </w:rPr>
              <w:t>0%</w:t>
            </w:r>
          </w:p>
        </w:tc>
        <w:tc>
          <w:tcPr>
            <w:tcW w:w="495" w:type="pct"/>
            <w:tcBorders>
              <w:top w:val="nil"/>
              <w:left w:val="nil"/>
              <w:bottom w:val="nil"/>
              <w:right w:val="nil"/>
            </w:tcBorders>
            <w:vAlign w:val="bottom"/>
          </w:tcPr>
          <w:p w14:paraId="5F55042D" w14:textId="665F4509" w:rsidR="009D7E9D" w:rsidRPr="004943CE" w:rsidRDefault="009D7E9D" w:rsidP="005844A7">
            <w:pPr>
              <w:spacing w:before="40"/>
              <w:rPr>
                <w:szCs w:val="24"/>
              </w:rPr>
            </w:pPr>
            <w:r w:rsidRPr="0041442B">
              <w:rPr>
                <w:color w:val="000000"/>
                <w:sz w:val="22"/>
                <w:szCs w:val="22"/>
                <w:lang w:val="en-GB" w:eastAsia="en-GB"/>
              </w:rPr>
              <w:t>50%</w:t>
            </w:r>
          </w:p>
        </w:tc>
        <w:tc>
          <w:tcPr>
            <w:tcW w:w="496" w:type="pct"/>
            <w:tcBorders>
              <w:top w:val="nil"/>
              <w:left w:val="nil"/>
              <w:bottom w:val="nil"/>
              <w:right w:val="nil"/>
            </w:tcBorders>
            <w:vAlign w:val="bottom"/>
          </w:tcPr>
          <w:p w14:paraId="5B8E2716" w14:textId="6FE8647A" w:rsidR="009D7E9D" w:rsidRPr="004943CE" w:rsidRDefault="009D7E9D" w:rsidP="005844A7">
            <w:pPr>
              <w:spacing w:before="40"/>
              <w:rPr>
                <w:szCs w:val="24"/>
              </w:rPr>
            </w:pPr>
            <w:r w:rsidRPr="0041442B">
              <w:rPr>
                <w:color w:val="000000"/>
                <w:sz w:val="22"/>
                <w:szCs w:val="22"/>
                <w:lang w:val="en-GB" w:eastAsia="en-GB"/>
              </w:rPr>
              <w:t>50%</w:t>
            </w:r>
          </w:p>
        </w:tc>
        <w:tc>
          <w:tcPr>
            <w:tcW w:w="496" w:type="pct"/>
            <w:tcBorders>
              <w:top w:val="nil"/>
              <w:left w:val="nil"/>
              <w:bottom w:val="nil"/>
              <w:right w:val="nil"/>
            </w:tcBorders>
            <w:vAlign w:val="bottom"/>
          </w:tcPr>
          <w:p w14:paraId="777E50AE" w14:textId="41637FFA" w:rsidR="009D7E9D" w:rsidRPr="004943CE" w:rsidRDefault="009D7E9D" w:rsidP="005844A7">
            <w:pPr>
              <w:spacing w:before="40"/>
              <w:rPr>
                <w:szCs w:val="24"/>
              </w:rPr>
            </w:pPr>
            <w:r w:rsidRPr="0041442B">
              <w:rPr>
                <w:color w:val="000000"/>
                <w:sz w:val="22"/>
                <w:szCs w:val="22"/>
                <w:lang w:val="en-GB" w:eastAsia="en-GB"/>
              </w:rPr>
              <w:t>0%</w:t>
            </w:r>
          </w:p>
        </w:tc>
      </w:tr>
      <w:tr w:rsidR="009D7E9D" w:rsidRPr="004943CE" w14:paraId="1D0E5B3C" w14:textId="77777777" w:rsidTr="00D82F64">
        <w:trPr>
          <w:trHeight w:val="300"/>
          <w:jc w:val="center"/>
        </w:trPr>
        <w:tc>
          <w:tcPr>
            <w:tcW w:w="1037" w:type="pct"/>
            <w:tcBorders>
              <w:top w:val="nil"/>
              <w:left w:val="nil"/>
              <w:bottom w:val="single" w:sz="12" w:space="0" w:color="808080"/>
              <w:right w:val="nil"/>
            </w:tcBorders>
            <w:vAlign w:val="bottom"/>
          </w:tcPr>
          <w:p w14:paraId="053A9432" w14:textId="44181192" w:rsidR="009D7E9D" w:rsidRPr="004943CE" w:rsidRDefault="009D7E9D" w:rsidP="005844A7">
            <w:pPr>
              <w:spacing w:before="40"/>
              <w:rPr>
                <w:szCs w:val="24"/>
              </w:rPr>
            </w:pPr>
            <w:r w:rsidRPr="0041442B">
              <w:rPr>
                <w:b/>
                <w:bCs/>
                <w:color w:val="000000"/>
                <w:sz w:val="22"/>
                <w:szCs w:val="22"/>
                <w:lang w:val="en-GB" w:eastAsia="en-GB"/>
              </w:rPr>
              <w:t>Overall</w:t>
            </w:r>
          </w:p>
        </w:tc>
        <w:tc>
          <w:tcPr>
            <w:tcW w:w="495" w:type="pct"/>
            <w:tcBorders>
              <w:top w:val="nil"/>
              <w:left w:val="nil"/>
              <w:bottom w:val="single" w:sz="12" w:space="0" w:color="808080"/>
              <w:right w:val="nil"/>
            </w:tcBorders>
            <w:vAlign w:val="bottom"/>
          </w:tcPr>
          <w:p w14:paraId="3353FDBC" w14:textId="0A10E672" w:rsidR="009D7E9D" w:rsidRPr="004943CE" w:rsidRDefault="009D7E9D" w:rsidP="005844A7">
            <w:pPr>
              <w:spacing w:before="40"/>
              <w:rPr>
                <w:szCs w:val="24"/>
              </w:rPr>
            </w:pPr>
            <w:r w:rsidRPr="0041442B">
              <w:rPr>
                <w:b/>
                <w:bCs/>
                <w:color w:val="000000"/>
                <w:sz w:val="22"/>
                <w:szCs w:val="22"/>
                <w:lang w:val="en-GB" w:eastAsia="en-GB"/>
              </w:rPr>
              <w:t>13.0%</w:t>
            </w:r>
          </w:p>
        </w:tc>
        <w:tc>
          <w:tcPr>
            <w:tcW w:w="496" w:type="pct"/>
            <w:tcBorders>
              <w:top w:val="nil"/>
              <w:left w:val="nil"/>
              <w:bottom w:val="single" w:sz="12" w:space="0" w:color="808080"/>
              <w:right w:val="nil"/>
            </w:tcBorders>
            <w:vAlign w:val="bottom"/>
          </w:tcPr>
          <w:p w14:paraId="3839D849" w14:textId="5DFC60E4" w:rsidR="009D7E9D" w:rsidRPr="004943CE" w:rsidRDefault="009D7E9D" w:rsidP="005844A7">
            <w:pPr>
              <w:spacing w:before="40"/>
              <w:rPr>
                <w:szCs w:val="24"/>
              </w:rPr>
            </w:pPr>
            <w:r w:rsidRPr="0041442B">
              <w:rPr>
                <w:b/>
                <w:bCs/>
                <w:color w:val="000000"/>
                <w:sz w:val="22"/>
                <w:szCs w:val="22"/>
                <w:lang w:val="en-GB" w:eastAsia="en-GB"/>
              </w:rPr>
              <w:t>0.9%</w:t>
            </w:r>
          </w:p>
        </w:tc>
        <w:tc>
          <w:tcPr>
            <w:tcW w:w="495" w:type="pct"/>
            <w:tcBorders>
              <w:top w:val="nil"/>
              <w:left w:val="nil"/>
              <w:bottom w:val="single" w:sz="12" w:space="0" w:color="808080"/>
              <w:right w:val="nil"/>
            </w:tcBorders>
            <w:vAlign w:val="bottom"/>
          </w:tcPr>
          <w:p w14:paraId="1E2B2AD5" w14:textId="37FC1634" w:rsidR="009D7E9D" w:rsidRPr="004943CE" w:rsidRDefault="009D7E9D" w:rsidP="005844A7">
            <w:pPr>
              <w:spacing w:before="40"/>
              <w:rPr>
                <w:szCs w:val="24"/>
              </w:rPr>
            </w:pPr>
            <w:r w:rsidRPr="0041442B">
              <w:rPr>
                <w:b/>
                <w:bCs/>
                <w:color w:val="000000"/>
                <w:sz w:val="22"/>
                <w:szCs w:val="22"/>
                <w:lang w:val="en-GB" w:eastAsia="en-GB"/>
              </w:rPr>
              <w:t>39.5%</w:t>
            </w:r>
          </w:p>
        </w:tc>
        <w:tc>
          <w:tcPr>
            <w:tcW w:w="496" w:type="pct"/>
            <w:tcBorders>
              <w:top w:val="nil"/>
              <w:left w:val="nil"/>
              <w:bottom w:val="single" w:sz="12" w:space="0" w:color="808080"/>
              <w:right w:val="nil"/>
            </w:tcBorders>
            <w:vAlign w:val="bottom"/>
          </w:tcPr>
          <w:p w14:paraId="7916FDB3" w14:textId="7A0C958E" w:rsidR="009D7E9D" w:rsidRPr="004943CE" w:rsidRDefault="009D7E9D" w:rsidP="005844A7">
            <w:pPr>
              <w:spacing w:before="40"/>
              <w:rPr>
                <w:szCs w:val="24"/>
              </w:rPr>
            </w:pPr>
            <w:r w:rsidRPr="0041442B">
              <w:rPr>
                <w:b/>
                <w:bCs/>
                <w:color w:val="000000"/>
                <w:sz w:val="22"/>
                <w:szCs w:val="22"/>
                <w:lang w:val="en-GB" w:eastAsia="en-GB"/>
              </w:rPr>
              <w:t>22.4%</w:t>
            </w:r>
          </w:p>
        </w:tc>
        <w:tc>
          <w:tcPr>
            <w:tcW w:w="496" w:type="pct"/>
            <w:tcBorders>
              <w:top w:val="nil"/>
              <w:left w:val="nil"/>
              <w:bottom w:val="single" w:sz="12" w:space="0" w:color="808080"/>
              <w:right w:val="nil"/>
            </w:tcBorders>
            <w:vAlign w:val="bottom"/>
          </w:tcPr>
          <w:p w14:paraId="020FB172" w14:textId="553068F5" w:rsidR="009D7E9D" w:rsidRPr="004943CE" w:rsidRDefault="009D7E9D" w:rsidP="005844A7">
            <w:pPr>
              <w:spacing w:before="40"/>
              <w:rPr>
                <w:szCs w:val="24"/>
              </w:rPr>
            </w:pPr>
            <w:r w:rsidRPr="0041442B">
              <w:rPr>
                <w:b/>
                <w:bCs/>
                <w:color w:val="000000"/>
                <w:sz w:val="22"/>
                <w:szCs w:val="22"/>
                <w:lang w:val="en-GB" w:eastAsia="en-GB"/>
              </w:rPr>
              <w:t>19.3%</w:t>
            </w:r>
          </w:p>
        </w:tc>
        <w:tc>
          <w:tcPr>
            <w:tcW w:w="495" w:type="pct"/>
            <w:tcBorders>
              <w:top w:val="nil"/>
              <w:left w:val="nil"/>
              <w:bottom w:val="single" w:sz="12" w:space="0" w:color="808080"/>
              <w:right w:val="nil"/>
            </w:tcBorders>
            <w:vAlign w:val="bottom"/>
          </w:tcPr>
          <w:p w14:paraId="2F1707CE" w14:textId="1143B207" w:rsidR="009D7E9D" w:rsidRPr="004943CE" w:rsidRDefault="009D7E9D" w:rsidP="005844A7">
            <w:pPr>
              <w:spacing w:before="40"/>
              <w:rPr>
                <w:szCs w:val="24"/>
              </w:rPr>
            </w:pPr>
            <w:r w:rsidRPr="0041442B">
              <w:rPr>
                <w:b/>
                <w:bCs/>
                <w:color w:val="000000"/>
                <w:sz w:val="22"/>
                <w:szCs w:val="22"/>
                <w:lang w:val="en-GB" w:eastAsia="en-GB"/>
              </w:rPr>
              <w:t>28.7%</w:t>
            </w:r>
          </w:p>
        </w:tc>
        <w:tc>
          <w:tcPr>
            <w:tcW w:w="496" w:type="pct"/>
            <w:tcBorders>
              <w:top w:val="nil"/>
              <w:left w:val="nil"/>
              <w:bottom w:val="single" w:sz="12" w:space="0" w:color="808080"/>
              <w:right w:val="nil"/>
            </w:tcBorders>
            <w:vAlign w:val="bottom"/>
          </w:tcPr>
          <w:p w14:paraId="219335D1" w14:textId="53AC4A7E" w:rsidR="009D7E9D" w:rsidRPr="004943CE" w:rsidRDefault="009D7E9D" w:rsidP="005844A7">
            <w:pPr>
              <w:spacing w:before="40"/>
              <w:rPr>
                <w:szCs w:val="24"/>
              </w:rPr>
            </w:pPr>
            <w:r w:rsidRPr="0041442B">
              <w:rPr>
                <w:b/>
                <w:bCs/>
                <w:color w:val="000000"/>
                <w:sz w:val="22"/>
                <w:szCs w:val="22"/>
                <w:lang w:val="en-GB" w:eastAsia="en-GB"/>
              </w:rPr>
              <w:t>44.4%</w:t>
            </w:r>
          </w:p>
        </w:tc>
        <w:tc>
          <w:tcPr>
            <w:tcW w:w="496" w:type="pct"/>
            <w:tcBorders>
              <w:top w:val="nil"/>
              <w:left w:val="nil"/>
              <w:bottom w:val="single" w:sz="12" w:space="0" w:color="808080"/>
              <w:right w:val="nil"/>
            </w:tcBorders>
            <w:vAlign w:val="bottom"/>
          </w:tcPr>
          <w:p w14:paraId="27846473" w14:textId="45F965D8" w:rsidR="009D7E9D" w:rsidRPr="004943CE" w:rsidRDefault="009D7E9D" w:rsidP="005844A7">
            <w:pPr>
              <w:spacing w:before="40"/>
              <w:rPr>
                <w:szCs w:val="24"/>
              </w:rPr>
            </w:pPr>
            <w:r w:rsidRPr="0041442B">
              <w:rPr>
                <w:b/>
                <w:bCs/>
                <w:color w:val="000000"/>
                <w:sz w:val="22"/>
                <w:szCs w:val="22"/>
                <w:lang w:val="en-GB" w:eastAsia="en-GB"/>
              </w:rPr>
              <w:t>4.5%</w:t>
            </w:r>
          </w:p>
        </w:tc>
      </w:tr>
    </w:tbl>
    <w:p w14:paraId="6782A790" w14:textId="77777777" w:rsidR="009D7E9D" w:rsidRDefault="009D7E9D" w:rsidP="00D82F64">
      <w:pPr>
        <w:spacing w:before="240"/>
        <w:ind w:firstLine="284"/>
        <w:jc w:val="both"/>
      </w:pPr>
    </w:p>
    <w:p w14:paraId="30F2ED33" w14:textId="7128A39F" w:rsidR="008C5B8B" w:rsidRPr="008C5B8B" w:rsidRDefault="00F00B87" w:rsidP="00D82F64">
      <w:pPr>
        <w:spacing w:before="240"/>
        <w:ind w:firstLine="284"/>
        <w:jc w:val="both"/>
        <w:rPr>
          <w:noProof/>
          <w:lang w:val="en-GB" w:eastAsia="en-GB"/>
        </w:rPr>
      </w:pPr>
      <w:r>
        <w:t xml:space="preserve">Figure </w:t>
      </w:r>
      <w:r w:rsidR="00E76EB1">
        <w:t>1</w:t>
      </w:r>
      <w:r w:rsidR="008C5B8B" w:rsidRPr="008C5B8B">
        <w:rPr>
          <w:lang w:val="en-GB"/>
        </w:rPr>
        <w:t xml:space="preserve"> shows the results </w:t>
      </w:r>
      <w:r w:rsidR="000532EB">
        <w:rPr>
          <w:lang w:val="en-GB"/>
        </w:rPr>
        <w:t>of the</w:t>
      </w:r>
      <w:r w:rsidR="000532EB" w:rsidRPr="008C5B8B">
        <w:rPr>
          <w:lang w:val="en-GB"/>
        </w:rPr>
        <w:t xml:space="preserve"> </w:t>
      </w:r>
      <w:r w:rsidR="008C5B8B" w:rsidRPr="008C5B8B">
        <w:rPr>
          <w:lang w:val="en-GB"/>
        </w:rPr>
        <w:t xml:space="preserve">overall fit for the different grouping measures for rabies. </w:t>
      </w:r>
      <w:r w:rsidR="0004631D">
        <w:rPr>
          <w:lang w:val="en-GB"/>
        </w:rPr>
        <w:t>There was</w:t>
      </w:r>
      <w:r w:rsidR="0004631D" w:rsidRPr="0004631D">
        <w:rPr>
          <w:lang w:val="en-GB"/>
        </w:rPr>
        <w:t xml:space="preserve"> a maximum of 13.8% i</w:t>
      </w:r>
      <w:r w:rsidR="005550B3">
        <w:rPr>
          <w:lang w:val="en-GB"/>
        </w:rPr>
        <w:t>ncrease</w:t>
      </w:r>
      <w:r w:rsidR="0004631D" w:rsidRPr="0004631D">
        <w:rPr>
          <w:lang w:val="en-GB"/>
        </w:rPr>
        <w:t xml:space="preserve"> in the number of countries with a KS test p value &gt; 0.01, between treating the whole dataset as one epidemiological unit and the best grouping measure. </w:t>
      </w:r>
      <w:r w:rsidR="008C5B8B" w:rsidRPr="008C5B8B">
        <w:rPr>
          <w:lang w:val="en-GB"/>
        </w:rPr>
        <w:t xml:space="preserve">The </w:t>
      </w:r>
      <w:r w:rsidR="008C5B8B" w:rsidRPr="008C5B8B">
        <w:rPr>
          <w:i/>
          <w:lang w:val="en-GB"/>
        </w:rPr>
        <w:t>AltUNsubregion</w:t>
      </w:r>
      <w:r w:rsidR="008C5B8B" w:rsidRPr="008C5B8B">
        <w:rPr>
          <w:lang w:val="en-GB"/>
        </w:rPr>
        <w:t xml:space="preserve"> was on average the best across all species, although results varied by species</w:t>
      </w:r>
      <w:r w:rsidR="00CC1E20">
        <w:rPr>
          <w:lang w:val="en-GB"/>
        </w:rPr>
        <w:t xml:space="preserve">, with the </w:t>
      </w:r>
      <w:r w:rsidR="00CC1E20">
        <w:rPr>
          <w:i/>
          <w:lang w:val="en-GB"/>
        </w:rPr>
        <w:t xml:space="preserve">Gdp </w:t>
      </w:r>
      <w:r w:rsidR="00CC1E20">
        <w:rPr>
          <w:lang w:val="en-GB"/>
        </w:rPr>
        <w:t>groupings performing better for goats</w:t>
      </w:r>
      <w:r w:rsidR="008C5B8B" w:rsidRPr="008C5B8B">
        <w:rPr>
          <w:lang w:val="en-GB"/>
        </w:rPr>
        <w:t>.</w:t>
      </w:r>
    </w:p>
    <w:p w14:paraId="7282883A" w14:textId="6E014931" w:rsidR="008C5B8B" w:rsidRDefault="00A35C6B" w:rsidP="00D82F64">
      <w:pPr>
        <w:spacing w:before="240"/>
        <w:jc w:val="both"/>
        <w:rPr>
          <w:noProof/>
          <w:lang w:eastAsia="en-GB"/>
        </w:rPr>
      </w:pPr>
      <w:r>
        <w:rPr>
          <w:noProof/>
          <w:lang w:val="en-GB" w:eastAsia="en-GB"/>
        </w:rPr>
        <w:drawing>
          <wp:inline distT="0" distB="0" distL="0" distR="0" wp14:anchorId="5B3ED4CD" wp14:editId="1ECF4AE6">
            <wp:extent cx="5705475" cy="24840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573" cy="2488870"/>
                    </a:xfrm>
                    <a:prstGeom prst="rect">
                      <a:avLst/>
                    </a:prstGeom>
                    <a:noFill/>
                  </pic:spPr>
                </pic:pic>
              </a:graphicData>
            </a:graphic>
          </wp:inline>
        </w:drawing>
      </w:r>
    </w:p>
    <w:p w14:paraId="14B11CF2" w14:textId="2AF488FB" w:rsidR="008C5B8B" w:rsidRPr="008C5B8B" w:rsidRDefault="008C5B8B" w:rsidP="00D82F64">
      <w:pPr>
        <w:pStyle w:val="FigureTitle"/>
        <w:spacing w:after="0"/>
        <w:rPr>
          <w:lang w:val="en-GB"/>
        </w:rPr>
      </w:pPr>
      <w:bookmarkStart w:id="1" w:name="_Ref465858042"/>
      <w:r w:rsidRPr="008C5B8B">
        <w:rPr>
          <w:lang w:val="en-GB"/>
        </w:rPr>
        <w:t>Fig</w:t>
      </w:r>
      <w:r w:rsidR="00AC68BF">
        <w:rPr>
          <w:lang w:val="en-GB"/>
        </w:rPr>
        <w:t>.</w:t>
      </w:r>
      <w:r w:rsidRPr="008C5B8B">
        <w:rPr>
          <w:lang w:val="en-GB"/>
        </w:rPr>
        <w:t xml:space="preserve"> </w:t>
      </w:r>
      <w:bookmarkEnd w:id="1"/>
      <w:r w:rsidR="00134491">
        <w:t>1</w:t>
      </w:r>
      <w:r w:rsidRPr="008C5B8B">
        <w:rPr>
          <w:lang w:val="en-GB"/>
        </w:rPr>
        <w:t xml:space="preserve"> Percentage of countries with a Kolmogorov-Smirnov </w:t>
      </w:r>
      <w:r w:rsidRPr="008C5B8B">
        <w:rPr>
          <w:i/>
          <w:lang w:val="en-GB"/>
        </w:rPr>
        <w:t>p</w:t>
      </w:r>
      <w:r w:rsidRPr="008C5B8B">
        <w:rPr>
          <w:lang w:val="en-GB"/>
        </w:rPr>
        <w:t xml:space="preserve"> value &gt;0.01, by animal species and grouping method, for rabies. A higher proportion means that more countries have a distribution of historical outbreaks that could be considered to come from the same distribution as the one fitted to the grouped data. </w:t>
      </w:r>
    </w:p>
    <w:p w14:paraId="69B03DC3" w14:textId="77777777" w:rsidR="008C5B8B" w:rsidRPr="008C5B8B" w:rsidRDefault="008C5B8B" w:rsidP="00D82F64">
      <w:pPr>
        <w:spacing w:before="240"/>
        <w:jc w:val="both"/>
        <w:rPr>
          <w:lang w:val="en-GB"/>
        </w:rPr>
      </w:pPr>
    </w:p>
    <w:p w14:paraId="293E577B" w14:textId="31AD4369" w:rsidR="008C5B8B" w:rsidRPr="008C5B8B" w:rsidRDefault="008C5B8B" w:rsidP="000D1F72">
      <w:pPr>
        <w:spacing w:before="240"/>
        <w:ind w:firstLine="284"/>
        <w:jc w:val="both"/>
        <w:rPr>
          <w:highlight w:val="yellow"/>
          <w:lang w:val="en-GB"/>
        </w:rPr>
      </w:pPr>
      <w:r>
        <w:fldChar w:fldCharType="begin"/>
      </w:r>
      <w:r w:rsidRPr="008C5B8B">
        <w:rPr>
          <w:lang w:val="en-GB"/>
        </w:rPr>
        <w:instrText xml:space="preserve"> REF _Ref466272283 \h  \* MERGEFORMAT </w:instrText>
      </w:r>
      <w:r>
        <w:fldChar w:fldCharType="separate"/>
      </w:r>
      <w:r w:rsidR="001A4025" w:rsidRPr="008C5B8B">
        <w:rPr>
          <w:lang w:val="en-GB"/>
        </w:rPr>
        <w:t>Fig</w:t>
      </w:r>
      <w:r w:rsidR="001A4025">
        <w:rPr>
          <w:lang w:val="en-GB"/>
        </w:rPr>
        <w:t>.</w:t>
      </w:r>
      <w:r w:rsidR="001A4025" w:rsidRPr="008C5B8B">
        <w:rPr>
          <w:noProof/>
          <w:lang w:val="en-GB"/>
        </w:rPr>
        <w:t xml:space="preserve"> </w:t>
      </w:r>
      <w:r w:rsidR="001A4025">
        <w:rPr>
          <w:noProof/>
          <w:lang w:val="en-GB"/>
        </w:rPr>
        <w:t>1</w:t>
      </w:r>
      <w:r>
        <w:fldChar w:fldCharType="end"/>
      </w:r>
      <w:r w:rsidRPr="008C5B8B">
        <w:rPr>
          <w:lang w:val="en-GB"/>
        </w:rPr>
        <w:t xml:space="preserve"> shows results</w:t>
      </w:r>
      <w:r w:rsidR="00CC1E20">
        <w:rPr>
          <w:lang w:val="en-GB"/>
        </w:rPr>
        <w:t xml:space="preserve"> for individual countries with the most observed data, using</w:t>
      </w:r>
      <w:r w:rsidRPr="008C5B8B">
        <w:rPr>
          <w:lang w:val="en-GB"/>
        </w:rPr>
        <w:t xml:space="preserve"> cattle</w:t>
      </w:r>
      <w:r w:rsidR="00CC1E20">
        <w:rPr>
          <w:lang w:val="en-GB"/>
        </w:rPr>
        <w:t xml:space="preserve"> as an example</w:t>
      </w:r>
      <w:r w:rsidR="006E339C">
        <w:rPr>
          <w:lang w:val="en-GB"/>
        </w:rPr>
        <w:t>.</w:t>
      </w:r>
      <w:r w:rsidRPr="008C5B8B">
        <w:rPr>
          <w:lang w:val="en-GB"/>
        </w:rPr>
        <w:t xml:space="preserve"> It can be seen that for individual countries, the median of the observed data often falls between the 25</w:t>
      </w:r>
      <w:r w:rsidRPr="008C5B8B">
        <w:rPr>
          <w:vertAlign w:val="superscript"/>
          <w:lang w:val="en-GB"/>
        </w:rPr>
        <w:t>th</w:t>
      </w:r>
      <w:r w:rsidRPr="008C5B8B">
        <w:rPr>
          <w:lang w:val="en-GB"/>
        </w:rPr>
        <w:t xml:space="preserve"> and 75</w:t>
      </w:r>
      <w:r w:rsidRPr="008C5B8B">
        <w:rPr>
          <w:vertAlign w:val="superscript"/>
          <w:lang w:val="en-GB"/>
        </w:rPr>
        <w:t>th</w:t>
      </w:r>
      <w:r w:rsidRPr="008C5B8B">
        <w:rPr>
          <w:lang w:val="en-GB"/>
        </w:rPr>
        <w:t xml:space="preserve"> percentiles of the fitted distribution, which suggests both methods provide a reasonable fit. </w:t>
      </w:r>
    </w:p>
    <w:p w14:paraId="57AEC3E7" w14:textId="77777777" w:rsidR="008C5B8B" w:rsidRPr="00593BBC" w:rsidRDefault="008C5B8B" w:rsidP="00D82F64">
      <w:pPr>
        <w:spacing w:before="240"/>
        <w:jc w:val="center"/>
        <w:rPr>
          <w:sz w:val="18"/>
          <w:szCs w:val="18"/>
        </w:rPr>
      </w:pPr>
      <w:r>
        <w:rPr>
          <w:noProof/>
          <w:lang w:val="en-GB" w:eastAsia="en-GB"/>
        </w:rPr>
        <w:lastRenderedPageBreak/>
        <w:drawing>
          <wp:inline distT="0" distB="0" distL="0" distR="0" wp14:anchorId="4148CC6D" wp14:editId="20D74C0A">
            <wp:extent cx="5762625" cy="5773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773420"/>
                    </a:xfrm>
                    <a:prstGeom prst="rect">
                      <a:avLst/>
                    </a:prstGeom>
                    <a:noFill/>
                    <a:ln>
                      <a:noFill/>
                    </a:ln>
                  </pic:spPr>
                </pic:pic>
              </a:graphicData>
            </a:graphic>
          </wp:inline>
        </w:drawing>
      </w:r>
    </w:p>
    <w:p w14:paraId="63069139" w14:textId="772ED338" w:rsidR="008C5B8B" w:rsidRDefault="008C5B8B" w:rsidP="009927C0">
      <w:pPr>
        <w:pStyle w:val="FigureTitle"/>
        <w:rPr>
          <w:lang w:val="en-GB"/>
        </w:rPr>
      </w:pPr>
      <w:bookmarkStart w:id="2" w:name="_Ref466272283"/>
      <w:r w:rsidRPr="008C5B8B">
        <w:rPr>
          <w:lang w:val="en-GB"/>
        </w:rPr>
        <w:t>Fig</w:t>
      </w:r>
      <w:r w:rsidR="00AC68BF">
        <w:rPr>
          <w:lang w:val="en-GB"/>
        </w:rPr>
        <w:t>.</w:t>
      </w:r>
      <w:r w:rsidRPr="008C5B8B">
        <w:rPr>
          <w:lang w:val="en-GB"/>
        </w:rPr>
        <w:t xml:space="preserve"> </w:t>
      </w:r>
      <w:r>
        <w:fldChar w:fldCharType="begin"/>
      </w:r>
      <w:r w:rsidRPr="008C5B8B">
        <w:rPr>
          <w:lang w:val="en-GB"/>
        </w:rPr>
        <w:instrText xml:space="preserve"> SEQ Figure \* ARABIC </w:instrText>
      </w:r>
      <w:r>
        <w:fldChar w:fldCharType="separate"/>
      </w:r>
      <w:r w:rsidR="001A4025">
        <w:rPr>
          <w:noProof/>
          <w:lang w:val="en-GB"/>
        </w:rPr>
        <w:t>1</w:t>
      </w:r>
      <w:r>
        <w:fldChar w:fldCharType="end"/>
      </w:r>
      <w:bookmarkEnd w:id="2"/>
      <w:r w:rsidRPr="008C5B8B">
        <w:rPr>
          <w:lang w:val="en-GB"/>
        </w:rPr>
        <w:t xml:space="preserve"> Comparison of observed and predicted number of rabies outbreaks in cattle for </w:t>
      </w:r>
      <w:r w:rsidRPr="008C5B8B">
        <w:rPr>
          <w:i/>
          <w:lang w:val="en-GB"/>
        </w:rPr>
        <w:t>AltUNsubregion</w:t>
      </w:r>
      <w:r w:rsidRPr="008C5B8B">
        <w:rPr>
          <w:lang w:val="en-GB"/>
        </w:rPr>
        <w:t xml:space="preserve"> </w:t>
      </w:r>
      <w:r w:rsidR="009927C0">
        <w:rPr>
          <w:lang w:val="en-GB"/>
        </w:rPr>
        <w:t>(predicted values estimated by fitting different distributions to groups of countries based on geographical region</w:t>
      </w:r>
      <w:r w:rsidR="00933A44">
        <w:rPr>
          <w:lang w:val="en-GB"/>
        </w:rPr>
        <w:t xml:space="preserve"> and specific epidemiological considerations (Adkin et al., 2004)</w:t>
      </w:r>
      <w:r w:rsidR="009927C0">
        <w:rPr>
          <w:lang w:val="en-GB"/>
        </w:rPr>
        <w:t xml:space="preserve">) </w:t>
      </w:r>
      <w:r w:rsidRPr="008C5B8B">
        <w:rPr>
          <w:lang w:val="en-GB"/>
        </w:rPr>
        <w:t xml:space="preserve">and </w:t>
      </w:r>
      <w:r w:rsidR="009927C0">
        <w:rPr>
          <w:i/>
          <w:lang w:val="en-GB"/>
        </w:rPr>
        <w:t>World</w:t>
      </w:r>
      <w:r w:rsidR="009927C0">
        <w:rPr>
          <w:lang w:val="en-GB"/>
        </w:rPr>
        <w:t xml:space="preserve"> (predicted values estimated using the same distribution for every country),</w:t>
      </w:r>
      <w:r w:rsidRPr="008C5B8B">
        <w:rPr>
          <w:lang w:val="en-GB"/>
        </w:rPr>
        <w:t xml:space="preserve"> where there were at least 15 observed historical outbreaks.</w:t>
      </w:r>
      <w:r w:rsidR="009927C0">
        <w:rPr>
          <w:i/>
          <w:lang w:val="en-GB"/>
        </w:rPr>
        <w:t xml:space="preserve"> </w:t>
      </w:r>
      <w:r w:rsidRPr="008C5B8B">
        <w:rPr>
          <w:lang w:val="en-GB"/>
        </w:rPr>
        <w:t>Triangle= median of country specific historical outbreaks, circle= median of fitted distribution, Line= 25</w:t>
      </w:r>
      <w:r w:rsidRPr="008C5B8B">
        <w:rPr>
          <w:vertAlign w:val="superscript"/>
          <w:lang w:val="en-GB"/>
        </w:rPr>
        <w:t>th</w:t>
      </w:r>
      <w:r w:rsidRPr="008C5B8B">
        <w:rPr>
          <w:lang w:val="en-GB"/>
        </w:rPr>
        <w:t xml:space="preserve"> – 75</w:t>
      </w:r>
      <w:r w:rsidRPr="008C5B8B">
        <w:rPr>
          <w:vertAlign w:val="superscript"/>
          <w:lang w:val="en-GB"/>
        </w:rPr>
        <w:t>th</w:t>
      </w:r>
      <w:r w:rsidRPr="008C5B8B">
        <w:rPr>
          <w:lang w:val="en-GB"/>
        </w:rPr>
        <w:t xml:space="preserve"> percentiles of country specific historical outbreaks. Country names are the official UN IS03 codes (UN, 2016).</w:t>
      </w:r>
    </w:p>
    <w:p w14:paraId="19C602C0" w14:textId="5A69F5F7" w:rsidR="00933A44" w:rsidRPr="008C5B8B" w:rsidRDefault="005550B3" w:rsidP="00933A44">
      <w:pPr>
        <w:spacing w:before="240"/>
        <w:ind w:firstLine="284"/>
        <w:jc w:val="both"/>
        <w:rPr>
          <w:highlight w:val="yellow"/>
          <w:lang w:val="en-GB"/>
        </w:rPr>
      </w:pPr>
      <w:r>
        <w:rPr>
          <w:lang w:val="en-GB"/>
        </w:rPr>
        <w:t>F</w:t>
      </w:r>
      <w:r w:rsidR="00933A44" w:rsidRPr="008C5B8B">
        <w:rPr>
          <w:lang w:val="en-GB"/>
        </w:rPr>
        <w:t>urther analysis on all the countries showed that the difference between the</w:t>
      </w:r>
      <w:r w:rsidR="00933A44">
        <w:rPr>
          <w:lang w:val="en-GB"/>
        </w:rPr>
        <w:t xml:space="preserve"> predicted</w:t>
      </w:r>
      <w:r w:rsidR="00933A44" w:rsidRPr="008C5B8B">
        <w:rPr>
          <w:lang w:val="en-GB"/>
        </w:rPr>
        <w:t xml:space="preserve"> and observed medians was smaller for the </w:t>
      </w:r>
      <w:r w:rsidR="00933A44" w:rsidRPr="008C5B8B">
        <w:rPr>
          <w:i/>
          <w:lang w:val="en-GB"/>
        </w:rPr>
        <w:t>AltUNsubregion</w:t>
      </w:r>
      <w:r w:rsidR="00933A44" w:rsidRPr="008C5B8B">
        <w:rPr>
          <w:lang w:val="en-GB"/>
        </w:rPr>
        <w:t xml:space="preserve"> (compared to the whole world) for 5</w:t>
      </w:r>
      <w:r w:rsidR="00933A44">
        <w:rPr>
          <w:lang w:val="en-GB"/>
        </w:rPr>
        <w:t>8</w:t>
      </w:r>
      <w:r w:rsidR="00933A44" w:rsidRPr="008C5B8B">
        <w:rPr>
          <w:lang w:val="en-GB"/>
        </w:rPr>
        <w:t xml:space="preserve"> countries, and larger for only 29 countries.  In addition, the squared sum of the differences between the medians was larger for the whole world than for </w:t>
      </w:r>
      <w:r w:rsidR="00933A44" w:rsidRPr="008C5B8B">
        <w:rPr>
          <w:i/>
          <w:lang w:val="en-GB"/>
        </w:rPr>
        <w:t>AltUNsubregion</w:t>
      </w:r>
      <w:r w:rsidR="00933A44">
        <w:rPr>
          <w:lang w:val="en-GB"/>
        </w:rPr>
        <w:t xml:space="preserve">. A similar pattern was observed for the other species, suggesting that the </w:t>
      </w:r>
      <w:r w:rsidR="00933A44" w:rsidRPr="00471586">
        <w:rPr>
          <w:i/>
          <w:lang w:val="en-GB"/>
        </w:rPr>
        <w:t>AltUNSubregion</w:t>
      </w:r>
      <w:r w:rsidR="00933A44">
        <w:rPr>
          <w:lang w:val="en-GB"/>
        </w:rPr>
        <w:t xml:space="preserve"> grouping provided the better fit (Table 2).</w:t>
      </w:r>
    </w:p>
    <w:p w14:paraId="3FB4DFD5" w14:textId="77777777" w:rsidR="00725DFE" w:rsidRDefault="00725DFE" w:rsidP="009927C0">
      <w:pPr>
        <w:pStyle w:val="FigureTitle"/>
        <w:rPr>
          <w:lang w:val="en-GB"/>
        </w:rPr>
      </w:pPr>
    </w:p>
    <w:p w14:paraId="72CF24E9" w14:textId="459D9361" w:rsidR="0059003B" w:rsidRPr="0059003B" w:rsidRDefault="0059003B" w:rsidP="0059003B">
      <w:pPr>
        <w:pStyle w:val="TableTitle"/>
      </w:pPr>
      <w:r>
        <w:t>Table 2:</w:t>
      </w:r>
      <w:r w:rsidR="001A4025" w:rsidRPr="001A4025">
        <w:rPr>
          <w:lang w:val="en-GB"/>
        </w:rPr>
        <w:t xml:space="preserve"> </w:t>
      </w:r>
      <w:r w:rsidR="001A4025">
        <w:rPr>
          <w:lang w:val="en-GB"/>
        </w:rPr>
        <w:t>Comparison</w:t>
      </w:r>
      <w:r w:rsidR="00BE0D2A">
        <w:rPr>
          <w:lang w:val="en-GB"/>
        </w:rPr>
        <w:t>s</w:t>
      </w:r>
      <w:r w:rsidR="001A4025">
        <w:rPr>
          <w:lang w:val="en-GB"/>
        </w:rPr>
        <w:t xml:space="preserve"> between two grouping methods, </w:t>
      </w:r>
      <w:r w:rsidR="001A4025">
        <w:rPr>
          <w:i/>
        </w:rPr>
        <w:t xml:space="preserve">AltUNSubRegion (ALT) </w:t>
      </w:r>
      <w:r w:rsidR="001A4025">
        <w:t xml:space="preserve">and </w:t>
      </w:r>
      <w:r w:rsidR="001A4025">
        <w:rPr>
          <w:i/>
        </w:rPr>
        <w:t>World</w:t>
      </w:r>
      <w:r w:rsidR="001A4025">
        <w:t xml:space="preserve"> (</w:t>
      </w:r>
      <w:r w:rsidR="001A4025" w:rsidRPr="00D82F64">
        <w:rPr>
          <w:i/>
        </w:rPr>
        <w:t>Wrld</w:t>
      </w:r>
      <w:r w:rsidR="001A4025">
        <w:t>)</w:t>
      </w:r>
      <w:r w:rsidR="00BE0D2A">
        <w:rPr>
          <w:lang w:val="en-GB"/>
        </w:rPr>
        <w:t>.</w:t>
      </w:r>
      <w:r w:rsidR="001A4025">
        <w:rPr>
          <w:lang w:val="en-GB"/>
        </w:rPr>
        <w:t xml:space="preserve"> </w:t>
      </w:r>
      <w:r w:rsidR="00BE0D2A">
        <w:rPr>
          <w:lang w:val="en-GB"/>
        </w:rPr>
        <w:t>T</w:t>
      </w:r>
      <w:r w:rsidR="001A4025">
        <w:rPr>
          <w:lang w:val="en-GB"/>
        </w:rPr>
        <w:t xml:space="preserve">he number of countries where the squared difference </w:t>
      </w:r>
      <w:r w:rsidR="001A4025">
        <w:t xml:space="preserve">between observed and predicted median number of rabies outbreaks by species, </w:t>
      </w:r>
      <w:r w:rsidR="001A4025">
        <w:rPr>
          <w:i/>
        </w:rPr>
        <w:t>s,</w:t>
      </w:r>
      <w:r w:rsidR="001A4025">
        <w:t xml:space="preserve"> and country </w:t>
      </w:r>
      <w:r w:rsidR="001A4025">
        <w:rPr>
          <w:i/>
        </w:rPr>
        <w:t>k</w:t>
      </w:r>
      <w:r w:rsidR="001A4025">
        <w:rPr>
          <w:lang w:val="en-GB"/>
        </w:rPr>
        <w:t xml:space="preserve"> was smaller for </w:t>
      </w:r>
      <w:r w:rsidR="001A4025">
        <w:rPr>
          <w:i/>
          <w:lang w:val="en-GB"/>
        </w:rPr>
        <w:t>ALT</w:t>
      </w:r>
      <w:r w:rsidR="001A4025">
        <w:rPr>
          <w:lang w:val="en-GB"/>
        </w:rPr>
        <w:t xml:space="preserve"> than for </w:t>
      </w:r>
      <w:proofErr w:type="spellStart"/>
      <w:r w:rsidR="001A4025">
        <w:rPr>
          <w:i/>
          <w:lang w:val="en-GB"/>
        </w:rPr>
        <w:t>Wrld</w:t>
      </w:r>
      <w:proofErr w:type="spellEnd"/>
      <w:r w:rsidR="001A4025">
        <w:rPr>
          <w:i/>
          <w:lang w:val="en-GB"/>
        </w:rPr>
        <w:t xml:space="preserve">, </w:t>
      </w:r>
      <w:r w:rsidR="00762A2F">
        <w:rPr>
          <w:i/>
          <w:lang w:val="en-GB"/>
        </w:rPr>
        <w:t xml:space="preserve">is depicted by </w:t>
      </w:r>
      <w:proofErr w:type="spellStart"/>
      <w:r w:rsidR="001A4025" w:rsidRPr="00177D86">
        <w:rPr>
          <w:i/>
          <w:lang w:val="en-GB"/>
        </w:rPr>
        <w:t>N</w:t>
      </w:r>
      <w:r w:rsidR="001A4025" w:rsidRPr="00177D86">
        <w:rPr>
          <w:i/>
          <w:vertAlign w:val="subscript"/>
          <w:lang w:val="en-GB"/>
        </w:rPr>
        <w:t>diff</w:t>
      </w:r>
      <w:proofErr w:type="spellEnd"/>
      <w:r w:rsidR="001A4025" w:rsidRPr="00177D86">
        <w:rPr>
          <w:i/>
          <w:lang w:val="en-GB"/>
        </w:rPr>
        <w:t>(</w:t>
      </w:r>
      <w:proofErr w:type="spellStart"/>
      <w:r w:rsidR="001A4025" w:rsidRPr="00177D86">
        <w:rPr>
          <w:i/>
          <w:lang w:val="en-GB"/>
        </w:rPr>
        <w:t>s,</w:t>
      </w:r>
      <w:r w:rsidR="001A4025">
        <w:rPr>
          <w:i/>
          <w:lang w:val="en-GB"/>
        </w:rPr>
        <w:t>ALT</w:t>
      </w:r>
      <w:proofErr w:type="spellEnd"/>
      <w:r w:rsidR="001A4025" w:rsidRPr="00177D86">
        <w:rPr>
          <w:i/>
          <w:lang w:val="en-GB"/>
        </w:rPr>
        <w:t>)</w:t>
      </w:r>
      <w:r w:rsidR="001A4025">
        <w:rPr>
          <w:lang w:val="en-GB"/>
        </w:rPr>
        <w:t xml:space="preserve"> and </w:t>
      </w:r>
      <w:r w:rsidR="00762A2F">
        <w:rPr>
          <w:lang w:val="en-GB"/>
        </w:rPr>
        <w:t>the opposite</w:t>
      </w:r>
      <w:r w:rsidR="001A4025">
        <w:rPr>
          <w:lang w:val="en-GB"/>
        </w:rPr>
        <w:t>,</w:t>
      </w:r>
      <w:r w:rsidR="00762A2F">
        <w:rPr>
          <w:lang w:val="en-GB"/>
        </w:rPr>
        <w:t xml:space="preserve"> depicted by</w:t>
      </w:r>
      <w:r w:rsidR="001A4025">
        <w:rPr>
          <w:lang w:val="en-GB"/>
        </w:rPr>
        <w:t xml:space="preserve"> </w:t>
      </w:r>
      <w:proofErr w:type="spellStart"/>
      <w:r w:rsidR="001A4025" w:rsidRPr="00BE0D2A">
        <w:rPr>
          <w:i/>
          <w:lang w:val="en-GB"/>
        </w:rPr>
        <w:t>N</w:t>
      </w:r>
      <w:r w:rsidR="001A4025" w:rsidRPr="00BE0D2A">
        <w:rPr>
          <w:i/>
          <w:lang w:val="en-GB"/>
        </w:rPr>
        <w:softHyphen/>
      </w:r>
      <w:r w:rsidR="001A4025" w:rsidRPr="00BE0D2A">
        <w:rPr>
          <w:i/>
          <w:vertAlign w:val="subscript"/>
          <w:lang w:val="en-GB"/>
        </w:rPr>
        <w:t>diff</w:t>
      </w:r>
      <w:proofErr w:type="spellEnd"/>
      <w:r w:rsidR="001A4025" w:rsidRPr="00BE0D2A">
        <w:rPr>
          <w:i/>
          <w:vertAlign w:val="subscript"/>
          <w:lang w:val="en-GB"/>
        </w:rPr>
        <w:softHyphen/>
      </w:r>
      <w:r w:rsidR="001A4025" w:rsidRPr="00BE0D2A">
        <w:rPr>
          <w:i/>
          <w:lang w:val="en-GB"/>
        </w:rPr>
        <w:t>(</w:t>
      </w:r>
      <w:proofErr w:type="spellStart"/>
      <w:r w:rsidR="001A4025" w:rsidRPr="00BE0D2A">
        <w:rPr>
          <w:i/>
          <w:lang w:val="en-GB"/>
        </w:rPr>
        <w:t>s,Wrld</w:t>
      </w:r>
      <w:proofErr w:type="spellEnd"/>
      <w:r w:rsidR="001A4025" w:rsidRPr="00BE0D2A">
        <w:rPr>
          <w:i/>
          <w:lang w:val="en-GB"/>
        </w:rPr>
        <w:t>)</w:t>
      </w:r>
      <w:r w:rsidR="00762A2F">
        <w:rPr>
          <w:lang w:val="en-GB"/>
        </w:rPr>
        <w:t>. The</w:t>
      </w:r>
      <w:r w:rsidR="001A4025">
        <w:rPr>
          <w:lang w:val="en-GB"/>
        </w:rPr>
        <w:t xml:space="preserve"> </w:t>
      </w:r>
      <w:r>
        <w:t xml:space="preserve">total </w:t>
      </w:r>
      <w:r w:rsidR="001637CF">
        <w:t>sum of the squared difference over</w:t>
      </w:r>
      <w:r w:rsidR="00E425C6">
        <w:t xml:space="preserve"> </w:t>
      </w:r>
      <w:r w:rsidR="001637CF">
        <w:t>all countries</w:t>
      </w:r>
      <w:r w:rsidR="0041442B">
        <w:t xml:space="preserve"> for </w:t>
      </w:r>
      <w:r w:rsidR="001A4025" w:rsidRPr="00BE0D2A">
        <w:rPr>
          <w:i/>
        </w:rPr>
        <w:t>ALT</w:t>
      </w:r>
      <w:r w:rsidR="00762A2F">
        <w:t xml:space="preserve"> is depicted by</w:t>
      </w:r>
      <w:r w:rsidR="00666093">
        <w:t xml:space="preserve"> </w:t>
      </w:r>
      <w:r w:rsidR="00666093" w:rsidRPr="00D82F64">
        <w:rPr>
          <w:i/>
        </w:rPr>
        <w:t>S</w:t>
      </w:r>
      <w:r w:rsidR="00666093" w:rsidRPr="00D82F64">
        <w:rPr>
          <w:i/>
          <w:vertAlign w:val="subscript"/>
        </w:rPr>
        <w:t>diffTot</w:t>
      </w:r>
      <w:r w:rsidR="00666093" w:rsidRPr="00D82F64">
        <w:rPr>
          <w:i/>
        </w:rPr>
        <w:t>(s</w:t>
      </w:r>
      <w:proofErr w:type="gramStart"/>
      <w:r w:rsidR="00666093" w:rsidRPr="00D82F64">
        <w:rPr>
          <w:i/>
        </w:rPr>
        <w:t>,</w:t>
      </w:r>
      <w:r w:rsidR="001A4025">
        <w:rPr>
          <w:i/>
        </w:rPr>
        <w:t>ALT</w:t>
      </w:r>
      <w:proofErr w:type="gramEnd"/>
      <w:r w:rsidR="00666093" w:rsidRPr="00D82F64">
        <w:rPr>
          <w:i/>
        </w:rPr>
        <w:t>)</w:t>
      </w:r>
      <w:r w:rsidR="001A4025">
        <w:rPr>
          <w:i/>
        </w:rPr>
        <w:t xml:space="preserve"> </w:t>
      </w:r>
      <w:r w:rsidR="001A4025" w:rsidRPr="00BE0D2A">
        <w:t>and</w:t>
      </w:r>
      <w:r w:rsidR="00762A2F">
        <w:t xml:space="preserve"> for</w:t>
      </w:r>
      <w:r w:rsidR="001A4025">
        <w:rPr>
          <w:i/>
        </w:rPr>
        <w:t xml:space="preserve"> Wrld, </w:t>
      </w:r>
      <w:r w:rsidR="00762A2F">
        <w:t xml:space="preserve">depicted by </w:t>
      </w:r>
      <w:r w:rsidR="001A4025" w:rsidRPr="00D82F64">
        <w:rPr>
          <w:i/>
        </w:rPr>
        <w:t>S</w:t>
      </w:r>
      <w:r w:rsidR="001A4025" w:rsidRPr="00D82F64">
        <w:rPr>
          <w:i/>
          <w:vertAlign w:val="subscript"/>
        </w:rPr>
        <w:t>diffTot</w:t>
      </w:r>
      <w:r w:rsidR="001A4025" w:rsidRPr="00D82F64">
        <w:rPr>
          <w:i/>
        </w:rPr>
        <w:t>(s,</w:t>
      </w:r>
      <w:r w:rsidR="001A4025">
        <w:rPr>
          <w:i/>
        </w:rPr>
        <w:t>Wrld</w:t>
      </w:r>
      <w:r w:rsidR="001A4025" w:rsidRPr="00D82F64">
        <w:rPr>
          <w:i/>
        </w:rPr>
        <w:t>)</w:t>
      </w:r>
      <w:r w:rsidRPr="00D82F64">
        <w:rPr>
          <w:i/>
        </w:rPr>
        <w:t>.</w:t>
      </w:r>
    </w:p>
    <w:tbl>
      <w:tblPr>
        <w:tblW w:w="5000" w:type="pct"/>
        <w:jc w:val="center"/>
        <w:tblBorders>
          <w:top w:val="single" w:sz="12" w:space="0" w:color="808080"/>
          <w:bottom w:val="single" w:sz="12" w:space="0" w:color="808080"/>
        </w:tblBorders>
        <w:tblLook w:val="0000" w:firstRow="0" w:lastRow="0" w:firstColumn="0" w:lastColumn="0" w:noHBand="0" w:noVBand="0"/>
      </w:tblPr>
      <w:tblGrid>
        <w:gridCol w:w="2054"/>
        <w:gridCol w:w="1198"/>
        <w:gridCol w:w="1198"/>
        <w:gridCol w:w="1198"/>
        <w:gridCol w:w="1198"/>
        <w:gridCol w:w="1198"/>
        <w:gridCol w:w="1198"/>
      </w:tblGrid>
      <w:tr w:rsidR="005844A7" w:rsidRPr="004943CE" w14:paraId="45817C95" w14:textId="77777777" w:rsidTr="00E425C6">
        <w:trPr>
          <w:trHeight w:val="300"/>
          <w:jc w:val="center"/>
        </w:trPr>
        <w:tc>
          <w:tcPr>
            <w:tcW w:w="1111" w:type="pct"/>
            <w:tcBorders>
              <w:top w:val="single" w:sz="12" w:space="0" w:color="808080"/>
              <w:left w:val="nil"/>
              <w:bottom w:val="single" w:sz="6" w:space="0" w:color="808080"/>
              <w:right w:val="nil"/>
            </w:tcBorders>
            <w:vAlign w:val="bottom"/>
          </w:tcPr>
          <w:p w14:paraId="0FC7FA6E" w14:textId="778CF99F" w:rsidR="005844A7" w:rsidRPr="004943CE" w:rsidRDefault="005844A7" w:rsidP="005844A7">
            <w:pPr>
              <w:spacing w:before="80"/>
              <w:rPr>
                <w:szCs w:val="24"/>
              </w:rPr>
            </w:pPr>
          </w:p>
        </w:tc>
        <w:tc>
          <w:tcPr>
            <w:tcW w:w="648" w:type="pct"/>
            <w:tcBorders>
              <w:top w:val="single" w:sz="12" w:space="0" w:color="808080"/>
              <w:left w:val="nil"/>
              <w:bottom w:val="single" w:sz="6" w:space="0" w:color="808080"/>
              <w:right w:val="nil"/>
            </w:tcBorders>
            <w:vAlign w:val="bottom"/>
          </w:tcPr>
          <w:p w14:paraId="05DF0423" w14:textId="77777777" w:rsidR="005844A7" w:rsidRPr="004943CE" w:rsidRDefault="005844A7" w:rsidP="005844A7">
            <w:pPr>
              <w:spacing w:before="80"/>
              <w:rPr>
                <w:szCs w:val="24"/>
              </w:rPr>
            </w:pPr>
            <w:r w:rsidRPr="001A4025">
              <w:rPr>
                <w:b/>
                <w:bCs/>
                <w:color w:val="000000"/>
                <w:szCs w:val="24"/>
                <w:lang w:val="en-GB" w:eastAsia="en-GB"/>
              </w:rPr>
              <w:t>Pig</w:t>
            </w:r>
          </w:p>
        </w:tc>
        <w:tc>
          <w:tcPr>
            <w:tcW w:w="648" w:type="pct"/>
            <w:tcBorders>
              <w:top w:val="single" w:sz="12" w:space="0" w:color="808080"/>
              <w:left w:val="nil"/>
              <w:bottom w:val="single" w:sz="6" w:space="0" w:color="808080"/>
              <w:right w:val="nil"/>
            </w:tcBorders>
            <w:vAlign w:val="bottom"/>
          </w:tcPr>
          <w:p w14:paraId="5A7341E0" w14:textId="77777777" w:rsidR="005844A7" w:rsidRPr="004943CE" w:rsidRDefault="005844A7" w:rsidP="005844A7">
            <w:pPr>
              <w:spacing w:before="80"/>
              <w:rPr>
                <w:szCs w:val="24"/>
              </w:rPr>
            </w:pPr>
            <w:r w:rsidRPr="001A4025">
              <w:rPr>
                <w:b/>
                <w:bCs/>
                <w:color w:val="000000"/>
                <w:szCs w:val="24"/>
                <w:lang w:val="en-GB" w:eastAsia="en-GB"/>
              </w:rPr>
              <w:t>Cattle</w:t>
            </w:r>
          </w:p>
        </w:tc>
        <w:tc>
          <w:tcPr>
            <w:tcW w:w="648" w:type="pct"/>
            <w:tcBorders>
              <w:top w:val="single" w:sz="12" w:space="0" w:color="808080"/>
              <w:left w:val="nil"/>
              <w:bottom w:val="single" w:sz="6" w:space="0" w:color="808080"/>
              <w:right w:val="nil"/>
            </w:tcBorders>
            <w:vAlign w:val="bottom"/>
          </w:tcPr>
          <w:p w14:paraId="12B30A17" w14:textId="77777777" w:rsidR="005844A7" w:rsidRPr="004943CE" w:rsidRDefault="005844A7" w:rsidP="005844A7">
            <w:pPr>
              <w:spacing w:before="80"/>
              <w:rPr>
                <w:szCs w:val="24"/>
              </w:rPr>
            </w:pPr>
            <w:r w:rsidRPr="001A4025">
              <w:rPr>
                <w:b/>
                <w:bCs/>
                <w:color w:val="000000"/>
                <w:szCs w:val="24"/>
                <w:lang w:val="en-GB" w:eastAsia="en-GB"/>
              </w:rPr>
              <w:t>Sheep</w:t>
            </w:r>
          </w:p>
        </w:tc>
        <w:tc>
          <w:tcPr>
            <w:tcW w:w="648" w:type="pct"/>
            <w:tcBorders>
              <w:top w:val="single" w:sz="12" w:space="0" w:color="808080"/>
              <w:left w:val="nil"/>
              <w:bottom w:val="single" w:sz="6" w:space="0" w:color="808080"/>
              <w:right w:val="nil"/>
            </w:tcBorders>
            <w:vAlign w:val="bottom"/>
          </w:tcPr>
          <w:p w14:paraId="7996D46A" w14:textId="77777777" w:rsidR="005844A7" w:rsidRPr="004943CE" w:rsidRDefault="005844A7" w:rsidP="005844A7">
            <w:pPr>
              <w:spacing w:before="80"/>
              <w:rPr>
                <w:szCs w:val="24"/>
              </w:rPr>
            </w:pPr>
            <w:r w:rsidRPr="001A4025">
              <w:rPr>
                <w:b/>
                <w:bCs/>
                <w:color w:val="000000"/>
                <w:szCs w:val="24"/>
                <w:lang w:val="en-GB" w:eastAsia="en-GB"/>
              </w:rPr>
              <w:t>Goat</w:t>
            </w:r>
          </w:p>
        </w:tc>
        <w:tc>
          <w:tcPr>
            <w:tcW w:w="648" w:type="pct"/>
            <w:tcBorders>
              <w:top w:val="single" w:sz="12" w:space="0" w:color="808080"/>
              <w:left w:val="nil"/>
              <w:bottom w:val="single" w:sz="6" w:space="0" w:color="808080"/>
              <w:right w:val="nil"/>
            </w:tcBorders>
            <w:vAlign w:val="bottom"/>
          </w:tcPr>
          <w:p w14:paraId="2A5FF253" w14:textId="77777777" w:rsidR="005844A7" w:rsidRPr="004943CE" w:rsidRDefault="005844A7" w:rsidP="005844A7">
            <w:pPr>
              <w:spacing w:before="80"/>
              <w:rPr>
                <w:szCs w:val="24"/>
              </w:rPr>
            </w:pPr>
            <w:r w:rsidRPr="001A4025">
              <w:rPr>
                <w:b/>
                <w:bCs/>
                <w:color w:val="000000"/>
                <w:szCs w:val="24"/>
                <w:lang w:val="en-GB" w:eastAsia="en-GB"/>
              </w:rPr>
              <w:t>Cat</w:t>
            </w:r>
          </w:p>
        </w:tc>
        <w:tc>
          <w:tcPr>
            <w:tcW w:w="648" w:type="pct"/>
            <w:tcBorders>
              <w:top w:val="single" w:sz="12" w:space="0" w:color="808080"/>
              <w:left w:val="nil"/>
              <w:bottom w:val="single" w:sz="6" w:space="0" w:color="808080"/>
              <w:right w:val="nil"/>
            </w:tcBorders>
            <w:vAlign w:val="bottom"/>
          </w:tcPr>
          <w:p w14:paraId="3DE031BE" w14:textId="77777777" w:rsidR="005844A7" w:rsidRPr="004943CE" w:rsidRDefault="005844A7" w:rsidP="005844A7">
            <w:pPr>
              <w:spacing w:before="80"/>
              <w:rPr>
                <w:szCs w:val="24"/>
              </w:rPr>
            </w:pPr>
            <w:r w:rsidRPr="001A4025">
              <w:rPr>
                <w:b/>
                <w:bCs/>
                <w:color w:val="000000"/>
                <w:szCs w:val="24"/>
                <w:lang w:val="en-GB" w:eastAsia="en-GB"/>
              </w:rPr>
              <w:t>Dog</w:t>
            </w:r>
          </w:p>
        </w:tc>
      </w:tr>
      <w:tr w:rsidR="005844A7" w:rsidRPr="004943CE" w14:paraId="785BF345" w14:textId="77777777" w:rsidTr="00E425C6">
        <w:trPr>
          <w:trHeight w:val="300"/>
          <w:jc w:val="center"/>
        </w:trPr>
        <w:tc>
          <w:tcPr>
            <w:tcW w:w="1111" w:type="pct"/>
            <w:tcBorders>
              <w:top w:val="nil"/>
              <w:left w:val="nil"/>
              <w:bottom w:val="nil"/>
              <w:right w:val="nil"/>
            </w:tcBorders>
            <w:vAlign w:val="bottom"/>
          </w:tcPr>
          <w:p w14:paraId="1395497B" w14:textId="496C12B9" w:rsidR="005844A7" w:rsidRPr="004943CE" w:rsidRDefault="00666093" w:rsidP="00666093">
            <w:pPr>
              <w:spacing w:before="40"/>
              <w:rPr>
                <w:i/>
                <w:szCs w:val="24"/>
              </w:rPr>
            </w:pPr>
            <w:r w:rsidRPr="004943CE">
              <w:rPr>
                <w:i/>
                <w:szCs w:val="24"/>
              </w:rPr>
              <w:t>N</w:t>
            </w:r>
            <w:r w:rsidRPr="004943CE">
              <w:rPr>
                <w:i/>
                <w:szCs w:val="24"/>
                <w:vertAlign w:val="subscript"/>
              </w:rPr>
              <w:t>diff</w:t>
            </w:r>
            <w:r w:rsidRPr="004943CE">
              <w:rPr>
                <w:i/>
                <w:szCs w:val="24"/>
              </w:rPr>
              <w:t>(</w:t>
            </w:r>
            <w:r w:rsidR="00E425C6" w:rsidRPr="004943CE">
              <w:rPr>
                <w:i/>
                <w:szCs w:val="24"/>
              </w:rPr>
              <w:t>s,</w:t>
            </w:r>
            <w:r w:rsidRPr="004943CE">
              <w:rPr>
                <w:i/>
                <w:szCs w:val="24"/>
              </w:rPr>
              <w:t>ALT)</w:t>
            </w:r>
          </w:p>
        </w:tc>
        <w:tc>
          <w:tcPr>
            <w:tcW w:w="648" w:type="pct"/>
            <w:tcBorders>
              <w:top w:val="nil"/>
              <w:left w:val="nil"/>
              <w:bottom w:val="nil"/>
              <w:right w:val="nil"/>
            </w:tcBorders>
            <w:vAlign w:val="bottom"/>
          </w:tcPr>
          <w:p w14:paraId="6130B5FE" w14:textId="34AE131A" w:rsidR="005844A7" w:rsidRPr="004943CE" w:rsidRDefault="005844A7" w:rsidP="005844A7">
            <w:pPr>
              <w:spacing w:before="40"/>
              <w:rPr>
                <w:szCs w:val="24"/>
              </w:rPr>
            </w:pPr>
            <w:r w:rsidRPr="004943CE">
              <w:rPr>
                <w:szCs w:val="24"/>
              </w:rPr>
              <w:t>23</w:t>
            </w:r>
          </w:p>
        </w:tc>
        <w:tc>
          <w:tcPr>
            <w:tcW w:w="648" w:type="pct"/>
            <w:tcBorders>
              <w:top w:val="nil"/>
              <w:left w:val="nil"/>
              <w:bottom w:val="nil"/>
              <w:right w:val="nil"/>
            </w:tcBorders>
            <w:vAlign w:val="bottom"/>
          </w:tcPr>
          <w:p w14:paraId="5F7DF76A" w14:textId="0B89959D" w:rsidR="005844A7" w:rsidRPr="004943CE" w:rsidRDefault="005844A7" w:rsidP="005844A7">
            <w:pPr>
              <w:spacing w:before="40"/>
              <w:rPr>
                <w:szCs w:val="24"/>
              </w:rPr>
            </w:pPr>
            <w:r w:rsidRPr="004943CE">
              <w:rPr>
                <w:szCs w:val="24"/>
              </w:rPr>
              <w:t>58</w:t>
            </w:r>
          </w:p>
        </w:tc>
        <w:tc>
          <w:tcPr>
            <w:tcW w:w="648" w:type="pct"/>
            <w:tcBorders>
              <w:top w:val="nil"/>
              <w:left w:val="nil"/>
              <w:bottom w:val="nil"/>
              <w:right w:val="nil"/>
            </w:tcBorders>
            <w:vAlign w:val="bottom"/>
          </w:tcPr>
          <w:p w14:paraId="7E898F8C" w14:textId="1DAA5E83" w:rsidR="005844A7" w:rsidRPr="004943CE" w:rsidRDefault="005844A7" w:rsidP="005844A7">
            <w:pPr>
              <w:spacing w:before="40"/>
              <w:rPr>
                <w:szCs w:val="24"/>
              </w:rPr>
            </w:pPr>
            <w:r w:rsidRPr="004943CE">
              <w:rPr>
                <w:szCs w:val="24"/>
              </w:rPr>
              <w:t>30</w:t>
            </w:r>
          </w:p>
        </w:tc>
        <w:tc>
          <w:tcPr>
            <w:tcW w:w="648" w:type="pct"/>
            <w:tcBorders>
              <w:top w:val="nil"/>
              <w:left w:val="nil"/>
              <w:bottom w:val="nil"/>
              <w:right w:val="nil"/>
            </w:tcBorders>
            <w:vAlign w:val="bottom"/>
          </w:tcPr>
          <w:p w14:paraId="7E54D93A" w14:textId="2334A3DD" w:rsidR="005844A7" w:rsidRPr="004943CE" w:rsidRDefault="005844A7" w:rsidP="005844A7">
            <w:pPr>
              <w:spacing w:before="40"/>
              <w:rPr>
                <w:szCs w:val="24"/>
              </w:rPr>
            </w:pPr>
            <w:r w:rsidRPr="004943CE">
              <w:rPr>
                <w:szCs w:val="24"/>
              </w:rPr>
              <w:t>25</w:t>
            </w:r>
          </w:p>
        </w:tc>
        <w:tc>
          <w:tcPr>
            <w:tcW w:w="648" w:type="pct"/>
            <w:tcBorders>
              <w:top w:val="nil"/>
              <w:left w:val="nil"/>
              <w:bottom w:val="nil"/>
              <w:right w:val="nil"/>
            </w:tcBorders>
            <w:vAlign w:val="bottom"/>
          </w:tcPr>
          <w:p w14:paraId="181E9184" w14:textId="66988D3B" w:rsidR="005844A7" w:rsidRPr="004943CE" w:rsidRDefault="005844A7" w:rsidP="005844A7">
            <w:pPr>
              <w:spacing w:before="40"/>
              <w:rPr>
                <w:szCs w:val="24"/>
              </w:rPr>
            </w:pPr>
            <w:r w:rsidRPr="004943CE">
              <w:rPr>
                <w:szCs w:val="24"/>
              </w:rPr>
              <w:t>47</w:t>
            </w:r>
          </w:p>
        </w:tc>
        <w:tc>
          <w:tcPr>
            <w:tcW w:w="648" w:type="pct"/>
            <w:tcBorders>
              <w:top w:val="nil"/>
              <w:left w:val="nil"/>
              <w:bottom w:val="nil"/>
              <w:right w:val="nil"/>
            </w:tcBorders>
            <w:vAlign w:val="bottom"/>
          </w:tcPr>
          <w:p w14:paraId="67C129C7" w14:textId="5166BB06" w:rsidR="005844A7" w:rsidRPr="004943CE" w:rsidRDefault="005844A7" w:rsidP="005844A7">
            <w:pPr>
              <w:spacing w:before="40"/>
              <w:rPr>
                <w:szCs w:val="24"/>
              </w:rPr>
            </w:pPr>
            <w:r w:rsidRPr="004943CE">
              <w:rPr>
                <w:szCs w:val="24"/>
              </w:rPr>
              <w:t>67</w:t>
            </w:r>
          </w:p>
        </w:tc>
      </w:tr>
      <w:tr w:rsidR="005844A7" w:rsidRPr="004943CE" w14:paraId="69288FB8" w14:textId="77777777" w:rsidTr="00E425C6">
        <w:trPr>
          <w:trHeight w:val="300"/>
          <w:jc w:val="center"/>
        </w:trPr>
        <w:tc>
          <w:tcPr>
            <w:tcW w:w="1111" w:type="pct"/>
            <w:tcBorders>
              <w:top w:val="nil"/>
              <w:left w:val="nil"/>
              <w:bottom w:val="nil"/>
              <w:right w:val="nil"/>
            </w:tcBorders>
            <w:vAlign w:val="bottom"/>
          </w:tcPr>
          <w:p w14:paraId="7A909978" w14:textId="52171CD2" w:rsidR="005844A7" w:rsidRPr="004943CE" w:rsidRDefault="00666093" w:rsidP="00E425C6">
            <w:pPr>
              <w:spacing w:before="40"/>
              <w:rPr>
                <w:i/>
                <w:szCs w:val="24"/>
              </w:rPr>
            </w:pPr>
            <w:r w:rsidRPr="004943CE">
              <w:rPr>
                <w:i/>
                <w:szCs w:val="24"/>
              </w:rPr>
              <w:t>N</w:t>
            </w:r>
            <w:r w:rsidRPr="004943CE">
              <w:rPr>
                <w:i/>
                <w:szCs w:val="24"/>
                <w:vertAlign w:val="subscript"/>
              </w:rPr>
              <w:t>diff</w:t>
            </w:r>
            <w:r w:rsidRPr="004943CE">
              <w:rPr>
                <w:i/>
                <w:szCs w:val="24"/>
              </w:rPr>
              <w:t>(</w:t>
            </w:r>
            <w:r w:rsidR="00E425C6" w:rsidRPr="004943CE">
              <w:rPr>
                <w:i/>
                <w:szCs w:val="24"/>
              </w:rPr>
              <w:t>s,</w:t>
            </w:r>
            <w:r w:rsidRPr="004943CE">
              <w:rPr>
                <w:i/>
                <w:szCs w:val="24"/>
              </w:rPr>
              <w:t>W</w:t>
            </w:r>
            <w:r w:rsidR="00E425C6" w:rsidRPr="004943CE">
              <w:rPr>
                <w:i/>
                <w:szCs w:val="24"/>
              </w:rPr>
              <w:t>r</w:t>
            </w:r>
            <w:r w:rsidRPr="004943CE">
              <w:rPr>
                <w:i/>
                <w:szCs w:val="24"/>
              </w:rPr>
              <w:t>ld)</w:t>
            </w:r>
          </w:p>
        </w:tc>
        <w:tc>
          <w:tcPr>
            <w:tcW w:w="648" w:type="pct"/>
            <w:tcBorders>
              <w:top w:val="nil"/>
              <w:left w:val="nil"/>
              <w:bottom w:val="nil"/>
              <w:right w:val="nil"/>
            </w:tcBorders>
            <w:vAlign w:val="bottom"/>
          </w:tcPr>
          <w:p w14:paraId="185C9718" w14:textId="151F92E1" w:rsidR="005844A7" w:rsidRPr="004943CE" w:rsidRDefault="005844A7" w:rsidP="005844A7">
            <w:pPr>
              <w:spacing w:before="40"/>
              <w:rPr>
                <w:szCs w:val="24"/>
              </w:rPr>
            </w:pPr>
            <w:r w:rsidRPr="004943CE">
              <w:rPr>
                <w:szCs w:val="24"/>
              </w:rPr>
              <w:t>8</w:t>
            </w:r>
          </w:p>
        </w:tc>
        <w:tc>
          <w:tcPr>
            <w:tcW w:w="648" w:type="pct"/>
            <w:tcBorders>
              <w:top w:val="nil"/>
              <w:left w:val="nil"/>
              <w:bottom w:val="nil"/>
              <w:right w:val="nil"/>
            </w:tcBorders>
            <w:vAlign w:val="bottom"/>
          </w:tcPr>
          <w:p w14:paraId="00BA77BC" w14:textId="383D513F" w:rsidR="005844A7" w:rsidRPr="004943CE" w:rsidRDefault="005844A7" w:rsidP="005844A7">
            <w:pPr>
              <w:spacing w:before="40"/>
              <w:rPr>
                <w:szCs w:val="24"/>
              </w:rPr>
            </w:pPr>
            <w:r w:rsidRPr="004943CE">
              <w:rPr>
                <w:szCs w:val="24"/>
              </w:rPr>
              <w:t>29</w:t>
            </w:r>
          </w:p>
        </w:tc>
        <w:tc>
          <w:tcPr>
            <w:tcW w:w="648" w:type="pct"/>
            <w:tcBorders>
              <w:top w:val="nil"/>
              <w:left w:val="nil"/>
              <w:bottom w:val="nil"/>
              <w:right w:val="nil"/>
            </w:tcBorders>
            <w:vAlign w:val="bottom"/>
          </w:tcPr>
          <w:p w14:paraId="0C902A83" w14:textId="2BF88ABA" w:rsidR="005844A7" w:rsidRPr="004943CE" w:rsidRDefault="005844A7" w:rsidP="005844A7">
            <w:pPr>
              <w:spacing w:before="40"/>
              <w:rPr>
                <w:szCs w:val="24"/>
              </w:rPr>
            </w:pPr>
            <w:r w:rsidRPr="004943CE">
              <w:rPr>
                <w:szCs w:val="24"/>
              </w:rPr>
              <w:t>13</w:t>
            </w:r>
          </w:p>
        </w:tc>
        <w:tc>
          <w:tcPr>
            <w:tcW w:w="648" w:type="pct"/>
            <w:tcBorders>
              <w:top w:val="nil"/>
              <w:left w:val="nil"/>
              <w:bottom w:val="nil"/>
              <w:right w:val="nil"/>
            </w:tcBorders>
            <w:vAlign w:val="bottom"/>
          </w:tcPr>
          <w:p w14:paraId="11BB9473" w14:textId="357F19B2" w:rsidR="005844A7" w:rsidRPr="004943CE" w:rsidRDefault="005844A7" w:rsidP="005844A7">
            <w:pPr>
              <w:spacing w:before="40"/>
              <w:rPr>
                <w:szCs w:val="24"/>
              </w:rPr>
            </w:pPr>
            <w:r w:rsidRPr="004943CE">
              <w:rPr>
                <w:szCs w:val="24"/>
              </w:rPr>
              <w:t>14</w:t>
            </w:r>
          </w:p>
        </w:tc>
        <w:tc>
          <w:tcPr>
            <w:tcW w:w="648" w:type="pct"/>
            <w:tcBorders>
              <w:top w:val="nil"/>
              <w:left w:val="nil"/>
              <w:bottom w:val="nil"/>
              <w:right w:val="nil"/>
            </w:tcBorders>
            <w:vAlign w:val="bottom"/>
          </w:tcPr>
          <w:p w14:paraId="643AA8E0" w14:textId="056F0C4B" w:rsidR="005844A7" w:rsidRPr="004943CE" w:rsidRDefault="005844A7" w:rsidP="005844A7">
            <w:pPr>
              <w:spacing w:before="40"/>
              <w:rPr>
                <w:szCs w:val="24"/>
              </w:rPr>
            </w:pPr>
            <w:r w:rsidRPr="004943CE">
              <w:rPr>
                <w:szCs w:val="24"/>
              </w:rPr>
              <w:t>18</w:t>
            </w:r>
          </w:p>
        </w:tc>
        <w:tc>
          <w:tcPr>
            <w:tcW w:w="648" w:type="pct"/>
            <w:tcBorders>
              <w:top w:val="nil"/>
              <w:left w:val="nil"/>
              <w:bottom w:val="nil"/>
              <w:right w:val="nil"/>
            </w:tcBorders>
            <w:vAlign w:val="bottom"/>
          </w:tcPr>
          <w:p w14:paraId="396D7833" w14:textId="6D21AD5E" w:rsidR="005844A7" w:rsidRPr="004943CE" w:rsidRDefault="005844A7" w:rsidP="005844A7">
            <w:pPr>
              <w:spacing w:before="40"/>
              <w:rPr>
                <w:szCs w:val="24"/>
              </w:rPr>
            </w:pPr>
            <w:r w:rsidRPr="004943CE">
              <w:rPr>
                <w:szCs w:val="24"/>
              </w:rPr>
              <w:t>34</w:t>
            </w:r>
          </w:p>
        </w:tc>
      </w:tr>
      <w:tr w:rsidR="005844A7" w:rsidRPr="004943CE" w14:paraId="45B43B01" w14:textId="77777777" w:rsidTr="00E425C6">
        <w:trPr>
          <w:trHeight w:val="300"/>
          <w:jc w:val="center"/>
        </w:trPr>
        <w:tc>
          <w:tcPr>
            <w:tcW w:w="1111" w:type="pct"/>
            <w:tcBorders>
              <w:top w:val="nil"/>
              <w:left w:val="nil"/>
              <w:bottom w:val="nil"/>
              <w:right w:val="nil"/>
            </w:tcBorders>
            <w:vAlign w:val="bottom"/>
          </w:tcPr>
          <w:p w14:paraId="541E7E1A" w14:textId="430EB523" w:rsidR="005844A7" w:rsidRPr="004943CE" w:rsidRDefault="00666093" w:rsidP="001637CF">
            <w:pPr>
              <w:spacing w:before="40"/>
              <w:rPr>
                <w:i/>
                <w:szCs w:val="24"/>
              </w:rPr>
            </w:pPr>
            <w:r w:rsidRPr="004943CE">
              <w:rPr>
                <w:i/>
                <w:szCs w:val="24"/>
              </w:rPr>
              <w:t>S</w:t>
            </w:r>
            <w:r w:rsidRPr="004943CE">
              <w:rPr>
                <w:i/>
                <w:szCs w:val="24"/>
                <w:vertAlign w:val="subscript"/>
              </w:rPr>
              <w:t>diffTot</w:t>
            </w:r>
            <w:r w:rsidRPr="004943CE">
              <w:rPr>
                <w:i/>
                <w:szCs w:val="24"/>
              </w:rPr>
              <w:t>(s,ALT)</w:t>
            </w:r>
            <w:r w:rsidR="001637CF" w:rsidRPr="004943CE">
              <w:rPr>
                <w:i/>
                <w:szCs w:val="24"/>
              </w:rPr>
              <w:t xml:space="preserve"> </w:t>
            </w:r>
          </w:p>
        </w:tc>
        <w:tc>
          <w:tcPr>
            <w:tcW w:w="648" w:type="pct"/>
            <w:tcBorders>
              <w:top w:val="nil"/>
              <w:left w:val="nil"/>
              <w:bottom w:val="nil"/>
              <w:right w:val="nil"/>
            </w:tcBorders>
            <w:vAlign w:val="bottom"/>
          </w:tcPr>
          <w:p w14:paraId="30D899BE" w14:textId="54E5331A" w:rsidR="00963B77" w:rsidRPr="004943CE" w:rsidRDefault="00963B77" w:rsidP="005844A7">
            <w:pPr>
              <w:spacing w:before="40"/>
              <w:rPr>
                <w:szCs w:val="24"/>
              </w:rPr>
            </w:pPr>
            <w:r w:rsidRPr="004943CE">
              <w:rPr>
                <w:szCs w:val="24"/>
              </w:rPr>
              <w:t>41</w:t>
            </w:r>
          </w:p>
        </w:tc>
        <w:tc>
          <w:tcPr>
            <w:tcW w:w="648" w:type="pct"/>
            <w:tcBorders>
              <w:top w:val="nil"/>
              <w:left w:val="nil"/>
              <w:bottom w:val="nil"/>
              <w:right w:val="nil"/>
            </w:tcBorders>
            <w:vAlign w:val="bottom"/>
          </w:tcPr>
          <w:p w14:paraId="01CA0458" w14:textId="143275BD" w:rsidR="005844A7" w:rsidRPr="004943CE" w:rsidRDefault="00963B77" w:rsidP="005844A7">
            <w:pPr>
              <w:spacing w:before="40"/>
              <w:rPr>
                <w:szCs w:val="24"/>
              </w:rPr>
            </w:pPr>
            <w:r w:rsidRPr="004943CE">
              <w:rPr>
                <w:szCs w:val="24"/>
              </w:rPr>
              <w:t>168</w:t>
            </w:r>
          </w:p>
        </w:tc>
        <w:tc>
          <w:tcPr>
            <w:tcW w:w="648" w:type="pct"/>
            <w:tcBorders>
              <w:top w:val="nil"/>
              <w:left w:val="nil"/>
              <w:bottom w:val="nil"/>
              <w:right w:val="nil"/>
            </w:tcBorders>
            <w:vAlign w:val="bottom"/>
          </w:tcPr>
          <w:p w14:paraId="3E156562" w14:textId="36567E48" w:rsidR="005844A7" w:rsidRPr="004943CE" w:rsidRDefault="00963B77" w:rsidP="005844A7">
            <w:pPr>
              <w:spacing w:before="40"/>
              <w:rPr>
                <w:szCs w:val="24"/>
              </w:rPr>
            </w:pPr>
            <w:r w:rsidRPr="004943CE">
              <w:rPr>
                <w:szCs w:val="24"/>
              </w:rPr>
              <w:t>70</w:t>
            </w:r>
          </w:p>
        </w:tc>
        <w:tc>
          <w:tcPr>
            <w:tcW w:w="648" w:type="pct"/>
            <w:tcBorders>
              <w:top w:val="nil"/>
              <w:left w:val="nil"/>
              <w:bottom w:val="nil"/>
              <w:right w:val="nil"/>
            </w:tcBorders>
            <w:vAlign w:val="bottom"/>
          </w:tcPr>
          <w:p w14:paraId="55DF3588" w14:textId="5A36DA39" w:rsidR="005844A7" w:rsidRPr="004943CE" w:rsidRDefault="00963B77" w:rsidP="005844A7">
            <w:pPr>
              <w:spacing w:before="40"/>
              <w:rPr>
                <w:szCs w:val="24"/>
              </w:rPr>
            </w:pPr>
            <w:r w:rsidRPr="004943CE">
              <w:rPr>
                <w:szCs w:val="24"/>
              </w:rPr>
              <w:t>80</w:t>
            </w:r>
          </w:p>
        </w:tc>
        <w:tc>
          <w:tcPr>
            <w:tcW w:w="648" w:type="pct"/>
            <w:tcBorders>
              <w:top w:val="nil"/>
              <w:left w:val="nil"/>
              <w:bottom w:val="nil"/>
              <w:right w:val="nil"/>
            </w:tcBorders>
            <w:vAlign w:val="bottom"/>
          </w:tcPr>
          <w:p w14:paraId="6F15743A" w14:textId="2AADB18A" w:rsidR="005844A7" w:rsidRPr="004943CE" w:rsidRDefault="00963B77" w:rsidP="005844A7">
            <w:pPr>
              <w:spacing w:before="40"/>
              <w:rPr>
                <w:szCs w:val="24"/>
              </w:rPr>
            </w:pPr>
            <w:r w:rsidRPr="004943CE">
              <w:rPr>
                <w:szCs w:val="24"/>
              </w:rPr>
              <w:t>116</w:t>
            </w:r>
          </w:p>
        </w:tc>
        <w:tc>
          <w:tcPr>
            <w:tcW w:w="648" w:type="pct"/>
            <w:tcBorders>
              <w:top w:val="nil"/>
              <w:left w:val="nil"/>
              <w:bottom w:val="nil"/>
              <w:right w:val="nil"/>
            </w:tcBorders>
            <w:vAlign w:val="bottom"/>
          </w:tcPr>
          <w:p w14:paraId="2518BC66" w14:textId="61DD76A4" w:rsidR="005844A7" w:rsidRPr="004943CE" w:rsidRDefault="00963B77" w:rsidP="005844A7">
            <w:pPr>
              <w:spacing w:before="40"/>
              <w:rPr>
                <w:szCs w:val="24"/>
              </w:rPr>
            </w:pPr>
            <w:r w:rsidRPr="004943CE">
              <w:rPr>
                <w:szCs w:val="24"/>
              </w:rPr>
              <w:t>287</w:t>
            </w:r>
          </w:p>
        </w:tc>
      </w:tr>
      <w:tr w:rsidR="005844A7" w:rsidRPr="004943CE" w14:paraId="7A93ADB0" w14:textId="77777777" w:rsidTr="00E425C6">
        <w:trPr>
          <w:trHeight w:val="300"/>
          <w:jc w:val="center"/>
        </w:trPr>
        <w:tc>
          <w:tcPr>
            <w:tcW w:w="1111" w:type="pct"/>
            <w:tcBorders>
              <w:top w:val="nil"/>
              <w:left w:val="nil"/>
              <w:bottom w:val="nil"/>
              <w:right w:val="nil"/>
            </w:tcBorders>
            <w:vAlign w:val="bottom"/>
          </w:tcPr>
          <w:p w14:paraId="2E487C8A" w14:textId="23D615BA" w:rsidR="005844A7" w:rsidRPr="004943CE" w:rsidRDefault="00666093" w:rsidP="00666093">
            <w:pPr>
              <w:spacing w:before="40"/>
              <w:rPr>
                <w:i/>
                <w:szCs w:val="24"/>
              </w:rPr>
            </w:pPr>
            <w:r w:rsidRPr="004943CE">
              <w:rPr>
                <w:i/>
                <w:szCs w:val="24"/>
              </w:rPr>
              <w:t>S</w:t>
            </w:r>
            <w:r w:rsidRPr="004943CE">
              <w:rPr>
                <w:i/>
                <w:szCs w:val="24"/>
                <w:vertAlign w:val="subscript"/>
              </w:rPr>
              <w:t>diffTot</w:t>
            </w:r>
            <w:r w:rsidRPr="004943CE">
              <w:rPr>
                <w:i/>
                <w:szCs w:val="24"/>
              </w:rPr>
              <w:t>(s,Wrld)</w:t>
            </w:r>
          </w:p>
        </w:tc>
        <w:tc>
          <w:tcPr>
            <w:tcW w:w="648" w:type="pct"/>
            <w:tcBorders>
              <w:top w:val="nil"/>
              <w:left w:val="nil"/>
              <w:bottom w:val="nil"/>
              <w:right w:val="nil"/>
            </w:tcBorders>
            <w:vAlign w:val="bottom"/>
          </w:tcPr>
          <w:p w14:paraId="2DDE988B" w14:textId="224A9EED" w:rsidR="005844A7" w:rsidRPr="004943CE" w:rsidRDefault="00963B77" w:rsidP="005844A7">
            <w:pPr>
              <w:spacing w:before="40"/>
              <w:rPr>
                <w:szCs w:val="24"/>
              </w:rPr>
            </w:pPr>
            <w:r w:rsidRPr="004943CE">
              <w:rPr>
                <w:szCs w:val="24"/>
              </w:rPr>
              <w:t>148</w:t>
            </w:r>
          </w:p>
        </w:tc>
        <w:tc>
          <w:tcPr>
            <w:tcW w:w="648" w:type="pct"/>
            <w:tcBorders>
              <w:top w:val="nil"/>
              <w:left w:val="nil"/>
              <w:bottom w:val="nil"/>
              <w:right w:val="nil"/>
            </w:tcBorders>
            <w:vAlign w:val="bottom"/>
          </w:tcPr>
          <w:p w14:paraId="3763CBB6" w14:textId="095364B8" w:rsidR="005844A7" w:rsidRPr="004943CE" w:rsidRDefault="00963B77" w:rsidP="005844A7">
            <w:pPr>
              <w:spacing w:before="40"/>
              <w:rPr>
                <w:szCs w:val="24"/>
              </w:rPr>
            </w:pPr>
            <w:r w:rsidRPr="004943CE">
              <w:rPr>
                <w:szCs w:val="24"/>
              </w:rPr>
              <w:t>319</w:t>
            </w:r>
          </w:p>
        </w:tc>
        <w:tc>
          <w:tcPr>
            <w:tcW w:w="648" w:type="pct"/>
            <w:tcBorders>
              <w:top w:val="nil"/>
              <w:left w:val="nil"/>
              <w:bottom w:val="nil"/>
              <w:right w:val="nil"/>
            </w:tcBorders>
            <w:vAlign w:val="bottom"/>
          </w:tcPr>
          <w:p w14:paraId="0A8AC3D6" w14:textId="513200F9" w:rsidR="005844A7" w:rsidRPr="004943CE" w:rsidRDefault="00963B77" w:rsidP="005844A7">
            <w:pPr>
              <w:spacing w:before="40"/>
              <w:rPr>
                <w:szCs w:val="24"/>
              </w:rPr>
            </w:pPr>
            <w:r w:rsidRPr="004943CE">
              <w:rPr>
                <w:szCs w:val="24"/>
              </w:rPr>
              <w:t>137</w:t>
            </w:r>
          </w:p>
        </w:tc>
        <w:tc>
          <w:tcPr>
            <w:tcW w:w="648" w:type="pct"/>
            <w:tcBorders>
              <w:top w:val="nil"/>
              <w:left w:val="nil"/>
              <w:bottom w:val="nil"/>
              <w:right w:val="nil"/>
            </w:tcBorders>
            <w:vAlign w:val="bottom"/>
          </w:tcPr>
          <w:p w14:paraId="08879D7F" w14:textId="7F53A589" w:rsidR="005844A7" w:rsidRPr="004943CE" w:rsidRDefault="00963B77" w:rsidP="005844A7">
            <w:pPr>
              <w:spacing w:before="40"/>
              <w:rPr>
                <w:szCs w:val="24"/>
              </w:rPr>
            </w:pPr>
            <w:r w:rsidRPr="004943CE">
              <w:rPr>
                <w:szCs w:val="24"/>
              </w:rPr>
              <w:t>164</w:t>
            </w:r>
          </w:p>
        </w:tc>
        <w:tc>
          <w:tcPr>
            <w:tcW w:w="648" w:type="pct"/>
            <w:tcBorders>
              <w:top w:val="nil"/>
              <w:left w:val="nil"/>
              <w:bottom w:val="nil"/>
              <w:right w:val="nil"/>
            </w:tcBorders>
            <w:vAlign w:val="bottom"/>
          </w:tcPr>
          <w:p w14:paraId="55B1BFD1" w14:textId="1414DAC5" w:rsidR="005844A7" w:rsidRPr="004943CE" w:rsidRDefault="00963B77" w:rsidP="005844A7">
            <w:pPr>
              <w:spacing w:before="40"/>
              <w:rPr>
                <w:szCs w:val="24"/>
              </w:rPr>
            </w:pPr>
            <w:r w:rsidRPr="004943CE">
              <w:rPr>
                <w:szCs w:val="24"/>
              </w:rPr>
              <w:t>244</w:t>
            </w:r>
          </w:p>
        </w:tc>
        <w:tc>
          <w:tcPr>
            <w:tcW w:w="648" w:type="pct"/>
            <w:tcBorders>
              <w:top w:val="nil"/>
              <w:left w:val="nil"/>
              <w:bottom w:val="nil"/>
              <w:right w:val="nil"/>
            </w:tcBorders>
            <w:vAlign w:val="bottom"/>
          </w:tcPr>
          <w:p w14:paraId="1F1894FC" w14:textId="1D7CCBAA" w:rsidR="005844A7" w:rsidRPr="004943CE" w:rsidRDefault="00963B77" w:rsidP="005844A7">
            <w:pPr>
              <w:spacing w:before="40"/>
              <w:rPr>
                <w:szCs w:val="24"/>
              </w:rPr>
            </w:pPr>
            <w:r w:rsidRPr="004943CE">
              <w:rPr>
                <w:szCs w:val="24"/>
              </w:rPr>
              <w:t>420</w:t>
            </w:r>
          </w:p>
        </w:tc>
      </w:tr>
    </w:tbl>
    <w:p w14:paraId="70EDE0B7" w14:textId="77777777" w:rsidR="00893A01" w:rsidRPr="00893A01" w:rsidRDefault="00893A01" w:rsidP="001A4025">
      <w:pPr>
        <w:pStyle w:val="SVEPMParagraphFormat"/>
        <w:rPr>
          <w:lang w:val="en-GB"/>
        </w:rPr>
      </w:pPr>
    </w:p>
    <w:p w14:paraId="6A43F361" w14:textId="77777777" w:rsidR="008C3249" w:rsidRPr="00C03000" w:rsidRDefault="008C3249" w:rsidP="00D82F64">
      <w:pPr>
        <w:pStyle w:val="1stdegreeheading"/>
        <w:spacing w:before="120" w:after="0"/>
        <w:rPr>
          <w:lang w:val="en-GB"/>
        </w:rPr>
      </w:pPr>
      <w:r w:rsidRPr="00C03000">
        <w:rPr>
          <w:lang w:val="en-GB"/>
        </w:rPr>
        <w:t>DISCUSSION</w:t>
      </w:r>
    </w:p>
    <w:p w14:paraId="09C35B95" w14:textId="33E3B657" w:rsidR="005F1D80" w:rsidRDefault="005F1D80" w:rsidP="00D82F64">
      <w:pPr>
        <w:spacing w:before="240"/>
        <w:ind w:firstLine="284"/>
        <w:jc w:val="both"/>
        <w:rPr>
          <w:lang w:val="en-GB"/>
        </w:rPr>
      </w:pPr>
      <w:r w:rsidRPr="005F1D80">
        <w:rPr>
          <w:lang w:val="en-GB"/>
        </w:rPr>
        <w:t xml:space="preserve">Risk assessments for animal and public health require good quality data in terms of trade movements, animal health status and production systems </w:t>
      </w:r>
      <w:r w:rsidR="007C5E9C">
        <w:t>(Rodgers et al. 2011)</w:t>
      </w:r>
      <w:r>
        <w:t xml:space="preserve">. </w:t>
      </w:r>
      <w:r w:rsidRPr="005F1D80">
        <w:rPr>
          <w:lang w:val="en-GB"/>
        </w:rPr>
        <w:t xml:space="preserve">An essential prerequisite for estimating animal health status or disease burden is the availability of comprehensive national-level data on the prevalence of the disease of interest </w:t>
      </w:r>
      <w:r w:rsidR="007C5E9C">
        <w:rPr>
          <w:lang w:val="en-GB"/>
        </w:rPr>
        <w:t>(McDonald et al. 2015)</w:t>
      </w:r>
      <w:r w:rsidRPr="005F1D80">
        <w:rPr>
          <w:lang w:val="en-GB"/>
        </w:rPr>
        <w:t xml:space="preserve">. This is not always possible, however, and the treatment of missing values may lead to biased results. An alternative method, as presented here, is to estimate pathogen prevalence for countries with missing national-level data </w:t>
      </w:r>
      <w:r w:rsidR="007C5E9C">
        <w:rPr>
          <w:lang w:val="en-GB"/>
        </w:rPr>
        <w:t>(McDonald et al. 2015)</w:t>
      </w:r>
      <w:r w:rsidRPr="005F1D80">
        <w:rPr>
          <w:lang w:val="en-GB"/>
        </w:rPr>
        <w:t xml:space="preserve">. As risk assessments are data driven, with the value of the results being dictated by the quality of the data inputs, filling data gaps will reduce the occurrence of biased results and allow for more usable outputs giving more power to the risk assessment conclusions. Intrinsically, it is essential that the results of these methods provide transparent and robust estimates for the missing data. </w:t>
      </w:r>
    </w:p>
    <w:p w14:paraId="4BDCB58A" w14:textId="269D16C2" w:rsidR="00C03000" w:rsidRDefault="00C03000" w:rsidP="00D82F64">
      <w:pPr>
        <w:spacing w:before="240"/>
        <w:ind w:firstLine="284"/>
        <w:jc w:val="both"/>
        <w:rPr>
          <w:lang w:val="en-GB"/>
        </w:rPr>
      </w:pPr>
      <w:r w:rsidRPr="00C03000">
        <w:rPr>
          <w:lang w:val="en-GB"/>
        </w:rPr>
        <w:t>To assess the risk of exotic disease incursion and spread through Europe, the OIE database of global animal disease prevalence was used and different imputation methods, based on country groupings, were compared to investigate whether model output accuracy could be improved. In the case study example of rabies</w:t>
      </w:r>
      <w:r w:rsidR="000104FD">
        <w:rPr>
          <w:lang w:val="en-GB"/>
        </w:rPr>
        <w:t>,</w:t>
      </w:r>
      <w:r w:rsidRPr="00C03000">
        <w:rPr>
          <w:lang w:val="en-GB"/>
        </w:rPr>
        <w:t xml:space="preserve"> the results presented suggest that the methodology employed provided reasonable estimates for most countries in the world but was not always accurate on a country level. Results suggested that grouping countries before fitting a distribution was more accurate than just using a distribution fit to the whole world, but no grouping method was accurate for every country. As such, it is believed that the methodology is appropriate when estimating missing data, but it would be inadvisable to use the method in order to replicate an observed dataset.</w:t>
      </w:r>
    </w:p>
    <w:p w14:paraId="5EE63D00" w14:textId="6AC107ED" w:rsidR="0040540C" w:rsidRDefault="00C03000" w:rsidP="00D82F64">
      <w:pPr>
        <w:spacing w:before="240"/>
        <w:ind w:firstLine="284"/>
        <w:jc w:val="both"/>
        <w:rPr>
          <w:lang w:val="en-GB"/>
        </w:rPr>
      </w:pPr>
      <w:r w:rsidRPr="00C03000">
        <w:rPr>
          <w:lang w:val="en-GB"/>
        </w:rPr>
        <w:t xml:space="preserve">An interesting result of these analyses is that </w:t>
      </w:r>
      <w:r w:rsidR="0040540C">
        <w:rPr>
          <w:lang w:val="en-GB"/>
        </w:rPr>
        <w:t>they have</w:t>
      </w:r>
      <w:r w:rsidRPr="00C03000">
        <w:rPr>
          <w:lang w:val="en-GB"/>
        </w:rPr>
        <w:t xml:space="preserve"> the additional benefit of providing a statistic by which to determine which grouping method and/or proxy variables are best to consider for a given situation; the results suggest that this varies between both animal host species and pathogens of interest. For the case study of rabies, a comparison of the average score across species suggested that the </w:t>
      </w:r>
      <w:r w:rsidRPr="00C03000">
        <w:rPr>
          <w:i/>
          <w:lang w:val="en-GB"/>
        </w:rPr>
        <w:t>AltUNsubregion</w:t>
      </w:r>
      <w:r w:rsidRPr="00C03000">
        <w:rPr>
          <w:lang w:val="en-GB"/>
        </w:rPr>
        <w:t xml:space="preserve"> would be the best grouping measure to use. However, it is acknowledged that there are limitations to the analyses presented here. The metrics of comparison used here do not comprehensively describe everything about the goodness of the fit; other metrics such as the average KS score may give different results. </w:t>
      </w:r>
      <w:r w:rsidRPr="00C03000">
        <w:rPr>
          <w:lang w:val="en-GB"/>
        </w:rPr>
        <w:lastRenderedPageBreak/>
        <w:t>There are also other factors such as the proportion of MCs that fall into groupings where there are no observed data, and thus no estimate can be determined: it should be considered whether a grouping that gives a higher KS score is still the best option if an alternative grouping with a slightly lower KS score can provide estimates for more individual countries. This methodology could be further expanded to consider these issues, as well as test for other proxy variables or combinations of variables to evaluate if they would provide a better fit. Another area where this methodology could be expanded would be to evaluate the fits for distributions other than the gamm</w:t>
      </w:r>
      <w:r>
        <w:rPr>
          <w:lang w:val="en-GB"/>
        </w:rPr>
        <w:t xml:space="preserve">a </w:t>
      </w:r>
      <w:r w:rsidR="000104FD">
        <w:rPr>
          <w:lang w:val="en-GB"/>
        </w:rPr>
        <w:t>(</w:t>
      </w:r>
      <w:r>
        <w:rPr>
          <w:lang w:val="en-GB"/>
        </w:rPr>
        <w:t>e.g. lognormal or Weibull</w:t>
      </w:r>
      <w:r w:rsidR="000104FD">
        <w:rPr>
          <w:lang w:val="en-GB"/>
        </w:rPr>
        <w:t>)</w:t>
      </w:r>
      <w:r>
        <w:rPr>
          <w:lang w:val="en-GB"/>
        </w:rPr>
        <w:t xml:space="preserve">. </w:t>
      </w:r>
    </w:p>
    <w:p w14:paraId="5A4683EC" w14:textId="258DDC44" w:rsidR="0040540C" w:rsidRDefault="0040540C" w:rsidP="00D82F64">
      <w:pPr>
        <w:spacing w:before="240"/>
        <w:ind w:firstLine="284"/>
        <w:jc w:val="both"/>
        <w:rPr>
          <w:lang w:val="en-GB"/>
        </w:rPr>
      </w:pPr>
      <w:r>
        <w:rPr>
          <w:lang w:val="en-GB"/>
        </w:rPr>
        <w:t xml:space="preserve">The </w:t>
      </w:r>
      <w:r w:rsidR="00895571">
        <w:rPr>
          <w:lang w:val="en-GB"/>
        </w:rPr>
        <w:t>analysis presented here is designed to fill specific data gaps in global datasets, but is still</w:t>
      </w:r>
      <w:r>
        <w:rPr>
          <w:lang w:val="en-GB"/>
        </w:rPr>
        <w:t xml:space="preserve"> relian</w:t>
      </w:r>
      <w:r w:rsidR="00895571">
        <w:rPr>
          <w:lang w:val="en-GB"/>
        </w:rPr>
        <w:t xml:space="preserve">t on good quality input data. </w:t>
      </w:r>
      <w:r>
        <w:rPr>
          <w:lang w:val="en-GB"/>
        </w:rPr>
        <w:t xml:space="preserve">While the OIE database is one of the most comprehensive in the world, there are still data gaps that lead to uncertainty about the model results, particularly with regards to </w:t>
      </w:r>
      <w:r w:rsidR="00895571">
        <w:rPr>
          <w:lang w:val="en-GB"/>
        </w:rPr>
        <w:t xml:space="preserve">the </w:t>
      </w:r>
      <w:r>
        <w:rPr>
          <w:lang w:val="en-GB"/>
        </w:rPr>
        <w:t>nu</w:t>
      </w:r>
      <w:r w:rsidR="00895571">
        <w:rPr>
          <w:lang w:val="en-GB"/>
        </w:rPr>
        <w:t xml:space="preserve">mber of animal establishments. </w:t>
      </w:r>
      <w:r>
        <w:rPr>
          <w:lang w:val="en-GB"/>
        </w:rPr>
        <w:t xml:space="preserve">The assumption to </w:t>
      </w:r>
      <w:r w:rsidRPr="009D2163">
        <w:rPr>
          <w:lang w:val="en-GB"/>
        </w:rPr>
        <w:t>treat cats and dogs as single entities</w:t>
      </w:r>
      <w:r>
        <w:rPr>
          <w:lang w:val="en-GB"/>
        </w:rPr>
        <w:t xml:space="preserve"> could underestimate the risk, as it does not account for hou</w:t>
      </w:r>
      <w:r w:rsidR="00895571">
        <w:rPr>
          <w:lang w:val="en-GB"/>
        </w:rPr>
        <w:t>seholds that have multiple pets</w:t>
      </w:r>
      <w:r>
        <w:rPr>
          <w:lang w:val="en-GB"/>
        </w:rPr>
        <w:t xml:space="preserve"> or institutions such as dog homes. </w:t>
      </w:r>
    </w:p>
    <w:p w14:paraId="00A823DA" w14:textId="39A595A8" w:rsidR="00AC68BF" w:rsidRDefault="00C03000" w:rsidP="00D82F64">
      <w:pPr>
        <w:spacing w:before="240"/>
        <w:ind w:firstLine="284"/>
        <w:jc w:val="both"/>
        <w:rPr>
          <w:lang w:val="en-GB"/>
        </w:rPr>
      </w:pPr>
      <w:r w:rsidRPr="00C03000">
        <w:rPr>
          <w:lang w:val="en-GB"/>
        </w:rPr>
        <w:t xml:space="preserve">In conclusion, while there is a growing number of available global datasets providing information </w:t>
      </w:r>
      <w:r w:rsidR="000104FD">
        <w:rPr>
          <w:lang w:val="en-GB"/>
        </w:rPr>
        <w:t>that could be used</w:t>
      </w:r>
      <w:r w:rsidRPr="00C03000">
        <w:rPr>
          <w:lang w:val="en-GB"/>
        </w:rPr>
        <w:t xml:space="preserve"> for risk assessment</w:t>
      </w:r>
      <w:r w:rsidR="000104FD">
        <w:rPr>
          <w:lang w:val="en-GB"/>
        </w:rPr>
        <w:t>s</w:t>
      </w:r>
      <w:r w:rsidRPr="00C03000">
        <w:rPr>
          <w:lang w:val="en-GB"/>
        </w:rPr>
        <w:t>, currently there are assumptions which need to be made regarding the data gaps before datasets can be used. Using global datasets as they stand</w:t>
      </w:r>
      <w:r w:rsidR="00C31175">
        <w:rPr>
          <w:lang w:val="en-GB"/>
        </w:rPr>
        <w:t>,</w:t>
      </w:r>
      <w:r w:rsidRPr="00C03000">
        <w:rPr>
          <w:lang w:val="en-GB"/>
        </w:rPr>
        <w:t xml:space="preserve"> with missing data treated as a zero, may inadvertently penalise those countries which do report disease outbreaks as opposed to those countries which are affected by a pathogen but do not report outbreak data. The methodology for estimating animal disease prevalence presented here allows for an objective, transparent approach to fill the data gaps and provide a more comprehensive base for data input to risk assessments.</w:t>
      </w:r>
    </w:p>
    <w:p w14:paraId="4D741D2A" w14:textId="77777777" w:rsidR="00AC68BF" w:rsidRDefault="00AC68BF" w:rsidP="00AC68BF">
      <w:pPr>
        <w:spacing w:before="120"/>
        <w:jc w:val="both"/>
        <w:rPr>
          <w:lang w:val="en-GB"/>
        </w:rPr>
      </w:pPr>
    </w:p>
    <w:p w14:paraId="7A8FAC39" w14:textId="77777777" w:rsidR="00AC68BF" w:rsidRDefault="008C3249" w:rsidP="00D82F64">
      <w:pPr>
        <w:spacing w:before="240"/>
        <w:jc w:val="both"/>
        <w:rPr>
          <w:lang w:val="en-GB"/>
        </w:rPr>
      </w:pPr>
      <w:r w:rsidRPr="00C03000">
        <w:rPr>
          <w:lang w:val="en-GB"/>
        </w:rPr>
        <w:t>ACKNOWLEDGEMENTS</w:t>
      </w:r>
    </w:p>
    <w:p w14:paraId="74CEF573" w14:textId="5F171CE0" w:rsidR="00C03000" w:rsidRPr="00C03000" w:rsidRDefault="00AC68BF" w:rsidP="00AC68BF">
      <w:pPr>
        <w:spacing w:before="240"/>
        <w:jc w:val="both"/>
        <w:rPr>
          <w:caps/>
          <w:lang w:val="en-GB"/>
        </w:rPr>
      </w:pPr>
      <w:r>
        <w:rPr>
          <w:lang w:val="en-GB"/>
        </w:rPr>
        <w:t xml:space="preserve">      </w:t>
      </w:r>
      <w:r w:rsidR="00C03000" w:rsidRPr="00C03000">
        <w:rPr>
          <w:lang w:val="en-GB"/>
        </w:rPr>
        <w:t>This work had funding agreed through the Animal Health and Welfare ERA-NET consortium (</w:t>
      </w:r>
      <w:hyperlink r:id="rId11" w:history="1">
        <w:r w:rsidR="00C03000" w:rsidRPr="00C03000">
          <w:rPr>
            <w:rStyle w:val="Hyperlink"/>
            <w:lang w:val="en-GB"/>
          </w:rPr>
          <w:t>https://www.anihwa.eu/</w:t>
        </w:r>
      </w:hyperlink>
      <w:r w:rsidR="00C03000" w:rsidRPr="00C03000">
        <w:rPr>
          <w:lang w:val="en-GB"/>
        </w:rPr>
        <w:t xml:space="preserve">) under SPARE ('Spatial risk assessment framework for assessing exotic disease incursion and spread through Europe'). Funders are acknowledged as the Department for the Environment, Food and Rural Affairs (Defra) - UK, Ministry of Health - Italy, Spanish National Institute of Agriculture and Food Research and Technology – Spain, and Federal Food Safety and Veterinary Office (FSVO) – Switzerland. </w:t>
      </w:r>
      <w:r w:rsidR="00823A53">
        <w:rPr>
          <w:lang w:val="en-GB"/>
        </w:rPr>
        <w:t>The authors would also like to thank Rachel Jinks (APHA), Tony Fooks (APHA), Maria Crescio (IZSTO) and Silvia Bertolini (IZSTO) for their valuable inputs to this paper.</w:t>
      </w:r>
    </w:p>
    <w:p w14:paraId="42AB2899" w14:textId="77777777" w:rsidR="0002428E" w:rsidRDefault="0002428E" w:rsidP="00D82F64">
      <w:pPr>
        <w:pStyle w:val="1stdegreeheading"/>
        <w:spacing w:before="120" w:after="0"/>
        <w:rPr>
          <w:lang w:val="en-GB"/>
        </w:rPr>
      </w:pPr>
    </w:p>
    <w:p w14:paraId="3B415E1C" w14:textId="77777777" w:rsidR="008C3249" w:rsidRPr="00C03000" w:rsidRDefault="008C3249" w:rsidP="00D82F64">
      <w:pPr>
        <w:pStyle w:val="1stdegreeheading"/>
        <w:spacing w:before="120" w:after="0"/>
        <w:rPr>
          <w:lang w:val="en-GB"/>
        </w:rPr>
      </w:pPr>
      <w:r w:rsidRPr="00C03000">
        <w:rPr>
          <w:lang w:val="en-GB"/>
        </w:rPr>
        <w:t>REFERENCES</w:t>
      </w:r>
    </w:p>
    <w:p w14:paraId="55C41A8F" w14:textId="3CBB8AAB" w:rsidR="00C03000" w:rsidRPr="008B1151" w:rsidRDefault="00C03000" w:rsidP="00D82F64">
      <w:pPr>
        <w:pStyle w:val="Referencetext"/>
        <w:spacing w:before="240" w:after="0"/>
      </w:pPr>
      <w:r w:rsidRPr="00C03000">
        <w:rPr>
          <w:lang w:val="en-GB"/>
        </w:rPr>
        <w:t>Adkin</w:t>
      </w:r>
      <w:r w:rsidR="00CE0A87">
        <w:rPr>
          <w:lang w:val="en-GB"/>
        </w:rPr>
        <w:t>,</w:t>
      </w:r>
      <w:r w:rsidRPr="00C03000">
        <w:rPr>
          <w:lang w:val="en-GB"/>
        </w:rPr>
        <w:t xml:space="preserve"> A., Coburn</w:t>
      </w:r>
      <w:r w:rsidR="00CE0A87">
        <w:rPr>
          <w:lang w:val="en-GB"/>
        </w:rPr>
        <w:t>,</w:t>
      </w:r>
      <w:r w:rsidRPr="00C03000">
        <w:rPr>
          <w:lang w:val="en-GB"/>
        </w:rPr>
        <w:t xml:space="preserve"> H</w:t>
      </w:r>
      <w:r w:rsidR="00CC1E20">
        <w:rPr>
          <w:lang w:val="en-GB"/>
        </w:rPr>
        <w:t>.</w:t>
      </w:r>
      <w:r w:rsidRPr="00C03000">
        <w:rPr>
          <w:lang w:val="en-GB"/>
        </w:rPr>
        <w:t>, England</w:t>
      </w:r>
      <w:r w:rsidR="00CE0A87">
        <w:rPr>
          <w:lang w:val="en-GB"/>
        </w:rPr>
        <w:t>,</w:t>
      </w:r>
      <w:r w:rsidRPr="00C03000">
        <w:rPr>
          <w:lang w:val="en-GB"/>
        </w:rPr>
        <w:t xml:space="preserve"> T., Hall</w:t>
      </w:r>
      <w:r w:rsidR="00CE0A87">
        <w:rPr>
          <w:lang w:val="en-GB"/>
        </w:rPr>
        <w:t>,</w:t>
      </w:r>
      <w:r w:rsidRPr="00C03000">
        <w:rPr>
          <w:lang w:val="en-GB"/>
        </w:rPr>
        <w:t xml:space="preserve"> S., Hartnett</w:t>
      </w:r>
      <w:r w:rsidR="00CE0A87">
        <w:rPr>
          <w:lang w:val="en-GB"/>
        </w:rPr>
        <w:t>,</w:t>
      </w:r>
      <w:r w:rsidRPr="00C03000">
        <w:rPr>
          <w:lang w:val="en-GB"/>
        </w:rPr>
        <w:t xml:space="preserve"> E., Marooney</w:t>
      </w:r>
      <w:r w:rsidR="00CE0A87">
        <w:rPr>
          <w:lang w:val="en-GB"/>
        </w:rPr>
        <w:t>,</w:t>
      </w:r>
      <w:r w:rsidRPr="00C03000">
        <w:rPr>
          <w:lang w:val="en-GB"/>
        </w:rPr>
        <w:t xml:space="preserve"> C., Wooldridge</w:t>
      </w:r>
      <w:r w:rsidR="00CE0A87">
        <w:rPr>
          <w:lang w:val="en-GB"/>
        </w:rPr>
        <w:t>,</w:t>
      </w:r>
      <w:r w:rsidRPr="00C03000">
        <w:rPr>
          <w:lang w:val="en-GB"/>
        </w:rPr>
        <w:t xml:space="preserve"> M., Watson</w:t>
      </w:r>
      <w:r w:rsidR="00CE0A87">
        <w:rPr>
          <w:lang w:val="en-GB"/>
        </w:rPr>
        <w:t>,</w:t>
      </w:r>
      <w:r w:rsidRPr="00C03000">
        <w:rPr>
          <w:lang w:val="en-GB"/>
        </w:rPr>
        <w:t xml:space="preserve"> E., Cooper</w:t>
      </w:r>
      <w:r w:rsidR="00CE0A87">
        <w:rPr>
          <w:lang w:val="en-GB"/>
        </w:rPr>
        <w:t>,</w:t>
      </w:r>
      <w:r w:rsidRPr="00C03000">
        <w:rPr>
          <w:lang w:val="en-GB"/>
        </w:rPr>
        <w:t xml:space="preserve"> J.</w:t>
      </w:r>
      <w:r w:rsidR="00CE0A87">
        <w:rPr>
          <w:lang w:val="en-GB"/>
        </w:rPr>
        <w:t xml:space="preserve"> and</w:t>
      </w:r>
      <w:r w:rsidRPr="00C03000">
        <w:rPr>
          <w:lang w:val="en-GB"/>
        </w:rPr>
        <w:t xml:space="preserve"> Cox</w:t>
      </w:r>
      <w:r w:rsidR="00CE0A87">
        <w:rPr>
          <w:lang w:val="en-GB"/>
        </w:rPr>
        <w:t>,</w:t>
      </w:r>
      <w:r w:rsidRPr="00C03000">
        <w:rPr>
          <w:lang w:val="en-GB"/>
        </w:rPr>
        <w:t xml:space="preserve"> T.M.S. (2004). Risk assessment for the import of contaminated meat and meat products into Great Britain and the subsequent exposure of GB livestock. </w:t>
      </w:r>
      <w:hyperlink r:id="rId12" w:history="1">
        <w:r w:rsidRPr="00927CF7">
          <w:rPr>
            <w:rStyle w:val="Hyperlink"/>
          </w:rPr>
          <w:t>http://collections.europarchive.org/tna/20050301192907/http:/www.defra.gov.uk/animalh/illegali/pdf/risk-assessment04.pdf</w:t>
        </w:r>
      </w:hyperlink>
      <w:r w:rsidR="008B1151">
        <w:rPr>
          <w:rStyle w:val="Hyperlink"/>
        </w:rPr>
        <w:t xml:space="preserve"> </w:t>
      </w:r>
      <w:r w:rsidR="008B1151" w:rsidRPr="008B1151">
        <w:rPr>
          <w:rStyle w:val="Hyperlink"/>
          <w:u w:val="none"/>
        </w:rPr>
        <w:t xml:space="preserve">  </w:t>
      </w:r>
      <w:r w:rsidR="008B1151" w:rsidRPr="008B1151">
        <w:rPr>
          <w:rStyle w:val="Hyperlink"/>
          <w:color w:val="auto"/>
          <w:u w:val="none"/>
        </w:rPr>
        <w:t xml:space="preserve">Accessed </w:t>
      </w:r>
      <w:r w:rsidR="008B1151">
        <w:rPr>
          <w:rStyle w:val="Hyperlink"/>
          <w:color w:val="auto"/>
          <w:u w:val="none"/>
        </w:rPr>
        <w:t>2</w:t>
      </w:r>
      <w:r w:rsidR="008B1151" w:rsidRPr="008B1151">
        <w:rPr>
          <w:rStyle w:val="Hyperlink"/>
          <w:color w:val="auto"/>
          <w:u w:val="none"/>
        </w:rPr>
        <w:t>9.12.2016</w:t>
      </w:r>
    </w:p>
    <w:p w14:paraId="5F3BB73D" w14:textId="14195D2F" w:rsidR="00C03000" w:rsidRDefault="00C03000" w:rsidP="00D82F64">
      <w:pPr>
        <w:pStyle w:val="Referencetext"/>
        <w:spacing w:before="240" w:after="0"/>
      </w:pPr>
      <w:r w:rsidRPr="00C03000">
        <w:rPr>
          <w:lang w:val="en-GB"/>
        </w:rPr>
        <w:t xml:space="preserve">ECDC (2016). Zika Virus disease epidemic - Rapid Risk assessment. </w:t>
      </w:r>
      <w:hyperlink r:id="rId13" w:history="1">
        <w:r w:rsidRPr="00927CF7">
          <w:rPr>
            <w:rStyle w:val="Hyperlink"/>
          </w:rPr>
          <w:t>http://ecdc.europa.eu/en/publications/Publications/01-08-2016-RRA-eighth-update-Zika%20virus-Americas,%20Caribbean,%20Oceania.pdf</w:t>
        </w:r>
      </w:hyperlink>
      <w:r w:rsidR="00006BAF">
        <w:rPr>
          <w:rStyle w:val="Hyperlink"/>
        </w:rPr>
        <w:t xml:space="preserve"> </w:t>
      </w:r>
      <w:r w:rsidR="008B1151" w:rsidRPr="008B1151">
        <w:rPr>
          <w:rStyle w:val="Hyperlink"/>
          <w:color w:val="auto"/>
          <w:u w:val="none"/>
        </w:rPr>
        <w:t xml:space="preserve"> Accessed 29.12.2016</w:t>
      </w:r>
    </w:p>
    <w:p w14:paraId="10F19074" w14:textId="35E0BB14" w:rsidR="00C03000" w:rsidRDefault="00C03000" w:rsidP="00D82F64">
      <w:pPr>
        <w:pStyle w:val="Referencetext"/>
        <w:spacing w:before="240" w:after="0"/>
      </w:pPr>
      <w:r w:rsidRPr="00C03000">
        <w:rPr>
          <w:lang w:val="en-GB"/>
        </w:rPr>
        <w:lastRenderedPageBreak/>
        <w:t xml:space="preserve">FEDIAF (2014). The European pet food industry facts and figures 2014. </w:t>
      </w:r>
      <w:hyperlink r:id="rId14" w:history="1">
        <w:r w:rsidRPr="00927CF7">
          <w:rPr>
            <w:rStyle w:val="Hyperlink"/>
          </w:rPr>
          <w:t>http://www.fediaf.org/facts-figures/</w:t>
        </w:r>
      </w:hyperlink>
      <w:r w:rsidR="00006BAF" w:rsidRPr="008B1151">
        <w:rPr>
          <w:rStyle w:val="Hyperlink"/>
          <w:u w:val="none"/>
        </w:rPr>
        <w:t xml:space="preserve"> </w:t>
      </w:r>
      <w:r w:rsidR="00006BAF" w:rsidRPr="008B1151">
        <w:rPr>
          <w:rStyle w:val="Hyperlink"/>
          <w:color w:val="auto"/>
          <w:u w:val="none"/>
        </w:rPr>
        <w:t xml:space="preserve">Accessed </w:t>
      </w:r>
      <w:r w:rsidR="007C5E9C" w:rsidRPr="008B1151">
        <w:rPr>
          <w:rStyle w:val="Hyperlink"/>
          <w:color w:val="auto"/>
          <w:u w:val="none"/>
        </w:rPr>
        <w:t>29</w:t>
      </w:r>
      <w:r w:rsidR="007C5E9C" w:rsidRPr="00FC759D">
        <w:rPr>
          <w:rStyle w:val="Hyperlink"/>
          <w:color w:val="auto"/>
          <w:u w:val="none"/>
        </w:rPr>
        <w:t>.12.2016</w:t>
      </w:r>
    </w:p>
    <w:p w14:paraId="1E3F7E32" w14:textId="2C188321" w:rsidR="00C03000" w:rsidRPr="00C03000" w:rsidRDefault="00C03000" w:rsidP="00D82F64">
      <w:pPr>
        <w:pStyle w:val="Referencetext"/>
        <w:spacing w:before="240" w:after="0"/>
        <w:rPr>
          <w:lang w:val="en-GB"/>
        </w:rPr>
      </w:pPr>
      <w:r>
        <w:t>Hoinville, L.J., Alban, L., Drewe, J.A., Gibbens, J.C., Gustafson, L., Hasler, B., Saegerman, C., Salman, M.</w:t>
      </w:r>
      <w:r w:rsidR="00006BAF">
        <w:t xml:space="preserve"> and</w:t>
      </w:r>
      <w:r>
        <w:t xml:space="preserve"> Stark, K.D.C. (2013). </w:t>
      </w:r>
      <w:r w:rsidRPr="00C03000">
        <w:rPr>
          <w:lang w:val="en-GB"/>
        </w:rPr>
        <w:t xml:space="preserve">Proposed terms and concepts for describing and evaluating animal-health surveillance systems. </w:t>
      </w:r>
      <w:r w:rsidR="007C5E9C" w:rsidRPr="00C03000">
        <w:rPr>
          <w:lang w:val="en-GB"/>
        </w:rPr>
        <w:t>Prev</w:t>
      </w:r>
      <w:r w:rsidR="007C5E9C">
        <w:rPr>
          <w:lang w:val="en-GB"/>
        </w:rPr>
        <w:t>.</w:t>
      </w:r>
      <w:r w:rsidR="007C5E9C" w:rsidRPr="00C03000">
        <w:rPr>
          <w:lang w:val="en-GB"/>
        </w:rPr>
        <w:t xml:space="preserve"> Vet</w:t>
      </w:r>
      <w:r w:rsidR="007C5E9C">
        <w:rPr>
          <w:lang w:val="en-GB"/>
        </w:rPr>
        <w:t>.</w:t>
      </w:r>
      <w:r w:rsidR="008B1151">
        <w:rPr>
          <w:lang w:val="en-GB"/>
        </w:rPr>
        <w:t xml:space="preserve"> </w:t>
      </w:r>
      <w:r w:rsidR="007C5E9C" w:rsidRPr="00C03000">
        <w:rPr>
          <w:lang w:val="en-GB"/>
        </w:rPr>
        <w:t>Med</w:t>
      </w:r>
      <w:r w:rsidR="007C5E9C">
        <w:rPr>
          <w:lang w:val="en-GB"/>
        </w:rPr>
        <w:t>.</w:t>
      </w:r>
      <w:r w:rsidR="007C5E9C" w:rsidRPr="00C03000">
        <w:rPr>
          <w:lang w:val="en-GB"/>
        </w:rPr>
        <w:t xml:space="preserve"> </w:t>
      </w:r>
      <w:r w:rsidRPr="00C03000">
        <w:rPr>
          <w:lang w:val="en-GB"/>
        </w:rPr>
        <w:t>112, 1-12</w:t>
      </w:r>
    </w:p>
    <w:p w14:paraId="04D905A8" w14:textId="5024FE2D" w:rsidR="00C03000" w:rsidRDefault="00C03000" w:rsidP="00D82F64">
      <w:pPr>
        <w:pStyle w:val="Referencetext"/>
        <w:spacing w:before="240" w:after="0"/>
      </w:pPr>
      <w:r w:rsidRPr="00C03000">
        <w:rPr>
          <w:lang w:val="en-GB"/>
        </w:rPr>
        <w:t>Jacobsen, K.H.</w:t>
      </w:r>
      <w:r w:rsidR="00212204">
        <w:rPr>
          <w:lang w:val="en-GB"/>
        </w:rPr>
        <w:t xml:space="preserve"> and</w:t>
      </w:r>
      <w:r w:rsidRPr="00C03000">
        <w:rPr>
          <w:lang w:val="en-GB"/>
        </w:rPr>
        <w:t xml:space="preserve"> Koopman, J.S. (2005). The effects of socioeconomic development on worldwide hepatitis A virus seroprevalence patterns. </w:t>
      </w:r>
      <w:r w:rsidR="007C5E9C">
        <w:t xml:space="preserve">Int. J. Epidemiol. </w:t>
      </w:r>
      <w:r>
        <w:t>34, 600-609</w:t>
      </w:r>
    </w:p>
    <w:p w14:paraId="14BAA812" w14:textId="188A7C73" w:rsidR="00C03000" w:rsidRPr="00C03000" w:rsidRDefault="00C03000" w:rsidP="00D82F64">
      <w:pPr>
        <w:pStyle w:val="Referencetext"/>
        <w:spacing w:before="240" w:after="0"/>
        <w:rPr>
          <w:lang w:val="en-GB"/>
        </w:rPr>
      </w:pPr>
      <w:r>
        <w:t>McDonald, S.A., Devleesschauwer, B., Speybroeck, N., Hens, N., Praet, N., Torgerson, P.R., Havelaar, A.H., Wu, F., Tremblay, M., Amene, E.W.</w:t>
      </w:r>
      <w:r w:rsidR="00212204">
        <w:t xml:space="preserve"> and</w:t>
      </w:r>
      <w:r>
        <w:t xml:space="preserve"> Dopfer, D. (2015). </w:t>
      </w:r>
      <w:r w:rsidRPr="00C03000">
        <w:rPr>
          <w:lang w:val="en-GB"/>
        </w:rPr>
        <w:t xml:space="preserve">Data-driven methods for imputing national-level incidence in global burden of disease studies. </w:t>
      </w:r>
      <w:r w:rsidR="007C5E9C" w:rsidRPr="00C03000">
        <w:rPr>
          <w:lang w:val="en-GB"/>
        </w:rPr>
        <w:t>B</w:t>
      </w:r>
      <w:r w:rsidR="007C5E9C">
        <w:rPr>
          <w:lang w:val="en-GB"/>
        </w:rPr>
        <w:t>.</w:t>
      </w:r>
      <w:r w:rsidR="007C5E9C" w:rsidRPr="00C03000">
        <w:rPr>
          <w:lang w:val="en-GB"/>
        </w:rPr>
        <w:t xml:space="preserve"> </w:t>
      </w:r>
      <w:r w:rsidRPr="00C03000">
        <w:rPr>
          <w:lang w:val="en-GB"/>
        </w:rPr>
        <w:t xml:space="preserve"> World Health Organ</w:t>
      </w:r>
      <w:r w:rsidR="007C5E9C">
        <w:rPr>
          <w:lang w:val="en-GB"/>
        </w:rPr>
        <w:t>.</w:t>
      </w:r>
      <w:r w:rsidRPr="00C03000">
        <w:rPr>
          <w:lang w:val="en-GB"/>
        </w:rPr>
        <w:t xml:space="preserve"> 93, 228-236</w:t>
      </w:r>
    </w:p>
    <w:p w14:paraId="57CE6A31" w14:textId="78E32FA6" w:rsidR="00C03000" w:rsidRDefault="00C03000" w:rsidP="00D82F64">
      <w:pPr>
        <w:pStyle w:val="Referencetext"/>
        <w:spacing w:before="240" w:after="0"/>
      </w:pPr>
      <w:r w:rsidRPr="00C03000">
        <w:rPr>
          <w:lang w:val="en-GB"/>
        </w:rPr>
        <w:t>O</w:t>
      </w:r>
      <w:r w:rsidR="00D82F64">
        <w:rPr>
          <w:lang w:val="en-GB"/>
        </w:rPr>
        <w:t>IE (2016a</w:t>
      </w:r>
      <w:r w:rsidRPr="00C03000">
        <w:rPr>
          <w:lang w:val="en-GB"/>
        </w:rPr>
        <w:t xml:space="preserve">). WAHIS Interface </w:t>
      </w:r>
      <w:hyperlink r:id="rId15" w:history="1">
        <w:r w:rsidRPr="00927CF7">
          <w:rPr>
            <w:rStyle w:val="Hyperlink"/>
          </w:rPr>
          <w:t>http://www.oie.int/wahis_2/public/wahid.php/Wahidhome/Home</w:t>
        </w:r>
      </w:hyperlink>
      <w:r w:rsidR="007C5E9C" w:rsidRPr="007C5E9C">
        <w:rPr>
          <w:rStyle w:val="Hyperlink"/>
        </w:rPr>
        <w:t xml:space="preserve"> </w:t>
      </w:r>
      <w:r w:rsidR="007C5E9C" w:rsidRPr="008B1151">
        <w:rPr>
          <w:rStyle w:val="Hyperlink"/>
          <w:color w:val="auto"/>
          <w:u w:val="none"/>
        </w:rPr>
        <w:t>Accessed 29.12.2016</w:t>
      </w:r>
    </w:p>
    <w:p w14:paraId="24CCC7B9" w14:textId="3F452F30" w:rsidR="00C03000" w:rsidRDefault="00C03000" w:rsidP="00D82F64">
      <w:pPr>
        <w:pStyle w:val="Referencetext"/>
        <w:spacing w:before="240" w:after="0"/>
        <w:rPr>
          <w:rStyle w:val="Hyperlink"/>
          <w:lang w:val="en-GB"/>
        </w:rPr>
      </w:pPr>
      <w:r>
        <w:t>OIE (2016</w:t>
      </w:r>
      <w:r w:rsidR="00D82F64">
        <w:t>b</w:t>
      </w:r>
      <w:r>
        <w:t xml:space="preserve">). </w:t>
      </w:r>
      <w:r w:rsidRPr="00C03000">
        <w:rPr>
          <w:lang w:val="en-GB"/>
        </w:rPr>
        <w:t xml:space="preserve">Handistatus II. </w:t>
      </w:r>
      <w:hyperlink r:id="rId16" w:history="1">
        <w:r w:rsidRPr="00C03000">
          <w:rPr>
            <w:rStyle w:val="Hyperlink"/>
            <w:lang w:val="en-GB"/>
          </w:rPr>
          <w:t>http://web.oie.int/hs2/report.asp?lang=en</w:t>
        </w:r>
      </w:hyperlink>
      <w:r w:rsidR="007C5E9C" w:rsidRPr="007C5E9C">
        <w:rPr>
          <w:rStyle w:val="Hyperlink"/>
        </w:rPr>
        <w:t xml:space="preserve"> </w:t>
      </w:r>
      <w:r w:rsidR="007C5E9C" w:rsidRPr="008B1151">
        <w:rPr>
          <w:rStyle w:val="Hyperlink"/>
          <w:color w:val="auto"/>
          <w:u w:val="none"/>
        </w:rPr>
        <w:t>Accessed 29.12.2016</w:t>
      </w:r>
    </w:p>
    <w:p w14:paraId="2DC4596F" w14:textId="1E6464C4" w:rsidR="007C5E9C" w:rsidRPr="00C03000" w:rsidRDefault="007C5E9C" w:rsidP="00D82F64">
      <w:pPr>
        <w:pStyle w:val="Referencetext"/>
        <w:spacing w:before="240" w:after="0"/>
        <w:rPr>
          <w:lang w:val="en-GB"/>
        </w:rPr>
      </w:pPr>
      <w:r>
        <w:t>Rodgers C.J., Roque A.</w:t>
      </w:r>
      <w:r w:rsidR="00212204">
        <w:t xml:space="preserve"> and</w:t>
      </w:r>
      <w:r>
        <w:t xml:space="preserve">  Marcos Lopez, M. (2011). </w:t>
      </w:r>
      <w:r w:rsidRPr="00D82F64">
        <w:t>Dataquest: Inventory of data sources relevant for the identification of emerging diseases in the European aquaculture population</w:t>
      </w:r>
      <w:r>
        <w:rPr>
          <w:i/>
        </w:rPr>
        <w:t>.</w:t>
      </w:r>
      <w:r>
        <w:t xml:space="preserve"> EFSA Supporting Publications, </w:t>
      </w:r>
      <w:r w:rsidRPr="00D82F64">
        <w:t>8</w:t>
      </w:r>
      <w:r>
        <w:t>(1)</w:t>
      </w:r>
      <w:r w:rsidR="00E404A9">
        <w:t>, 1-108</w:t>
      </w:r>
    </w:p>
    <w:p w14:paraId="5F16C997" w14:textId="1A0EDFCE" w:rsidR="00C03000" w:rsidRPr="00C03000" w:rsidRDefault="00C03000" w:rsidP="00D82F64">
      <w:pPr>
        <w:pStyle w:val="Referencetext"/>
        <w:spacing w:before="240" w:after="0"/>
        <w:rPr>
          <w:lang w:val="en-GB"/>
        </w:rPr>
      </w:pPr>
      <w:r w:rsidRPr="00C03000">
        <w:rPr>
          <w:lang w:val="en-GB"/>
        </w:rPr>
        <w:t>Roberts H., Moir R., Matt C., Spray M.</w:t>
      </w:r>
      <w:r w:rsidR="00212204">
        <w:rPr>
          <w:lang w:val="en-GB"/>
        </w:rPr>
        <w:t xml:space="preserve"> and</w:t>
      </w:r>
      <w:r w:rsidRPr="00C03000">
        <w:rPr>
          <w:lang w:val="en-GB"/>
        </w:rPr>
        <w:t xml:space="preserve"> Boden L.P.B. (2016). Risk assessment for Bluetongue Virus (BTV-8): risk assessment of entry into the United Kingdom</w:t>
      </w:r>
      <w:r w:rsidR="007C5E9C" w:rsidRPr="007C5E9C">
        <w:t xml:space="preserve"> </w:t>
      </w:r>
      <w:hyperlink r:id="rId17" w:history="1">
        <w:r w:rsidR="00FC759D" w:rsidRPr="00242F5A">
          <w:rPr>
            <w:rStyle w:val="Hyperlink"/>
            <w:lang w:val="en-GB"/>
          </w:rPr>
          <w:t>https://www.gov.uk/government/uploads/system/uploads/attachment_data/file/499882/qra-BTV8-UK-160212.pdf</w:t>
        </w:r>
      </w:hyperlink>
      <w:r w:rsidR="00FC759D">
        <w:rPr>
          <w:lang w:val="en-GB"/>
        </w:rPr>
        <w:t xml:space="preserve"> </w:t>
      </w:r>
      <w:r w:rsidR="007C5E9C" w:rsidRPr="007C5E9C">
        <w:rPr>
          <w:rStyle w:val="Hyperlink"/>
        </w:rPr>
        <w:t xml:space="preserve"> </w:t>
      </w:r>
      <w:r w:rsidR="007C5E9C" w:rsidRPr="00FC759D">
        <w:rPr>
          <w:rStyle w:val="Hyperlink"/>
          <w:color w:val="auto"/>
          <w:u w:val="none"/>
        </w:rPr>
        <w:t>Accessed 29.12.2016</w:t>
      </w:r>
    </w:p>
    <w:p w14:paraId="08408757" w14:textId="6A4E44B9" w:rsidR="00C03000" w:rsidRPr="00C03000" w:rsidRDefault="00C03000" w:rsidP="00D82F64">
      <w:pPr>
        <w:pStyle w:val="Referencetext"/>
        <w:spacing w:before="240" w:after="0"/>
        <w:rPr>
          <w:lang w:val="en-GB"/>
        </w:rPr>
      </w:pPr>
      <w:r w:rsidRPr="00C03000">
        <w:rPr>
          <w:lang w:val="en-GB"/>
        </w:rPr>
        <w:t>Simons R.R.L, Horigan V., Gale P., Kosmider R.D., Breed A.C.</w:t>
      </w:r>
      <w:r w:rsidR="00212204">
        <w:rPr>
          <w:lang w:val="en-GB"/>
        </w:rPr>
        <w:t xml:space="preserve"> and</w:t>
      </w:r>
      <w:r w:rsidRPr="00C03000">
        <w:rPr>
          <w:lang w:val="en-GB"/>
        </w:rPr>
        <w:t xml:space="preserve"> Snary, E.L. (2016). A Generic Quantitative Risk Assessment Framework for the Entry of Bat-Borne Zoonotic Viruses into the European Union. PLoS ONE 11, e0165383</w:t>
      </w:r>
    </w:p>
    <w:p w14:paraId="2E94D425" w14:textId="57AF610C" w:rsidR="00C03000" w:rsidRPr="00C03000" w:rsidRDefault="00C03000" w:rsidP="00D82F64">
      <w:pPr>
        <w:pStyle w:val="Referencetext"/>
        <w:spacing w:before="240" w:after="0"/>
        <w:rPr>
          <w:lang w:val="en-GB"/>
        </w:rPr>
      </w:pPr>
      <w:r w:rsidRPr="00C03000">
        <w:rPr>
          <w:lang w:val="en-GB"/>
        </w:rPr>
        <w:t xml:space="preserve">SPARE (2016). Spatial Assessment of Risk for Europe for evaluating the incursion and spread of exotic animal disease through Europe. </w:t>
      </w:r>
      <w:hyperlink r:id="rId18" w:history="1">
        <w:r w:rsidRPr="00C03000">
          <w:rPr>
            <w:rStyle w:val="Hyperlink"/>
            <w:lang w:val="en-GB"/>
          </w:rPr>
          <w:t>http://www.spare-europe.eu/</w:t>
        </w:r>
      </w:hyperlink>
      <w:r w:rsidR="007C5E9C" w:rsidRPr="00FC759D">
        <w:rPr>
          <w:rStyle w:val="Hyperlink"/>
          <w:u w:val="none"/>
        </w:rPr>
        <w:t xml:space="preserve"> </w:t>
      </w:r>
      <w:r w:rsidR="007C5E9C" w:rsidRPr="00FC759D">
        <w:rPr>
          <w:rStyle w:val="Hyperlink"/>
          <w:color w:val="auto"/>
          <w:u w:val="none"/>
        </w:rPr>
        <w:t>Accessed 29.12.2016</w:t>
      </w:r>
    </w:p>
    <w:p w14:paraId="1E9B6A7B" w14:textId="7E2ADC27" w:rsidR="00C03000" w:rsidRDefault="00C03000" w:rsidP="00D82F64">
      <w:pPr>
        <w:pStyle w:val="Referencetext"/>
        <w:spacing w:before="240" w:after="0"/>
      </w:pPr>
      <w:r w:rsidRPr="00C03000">
        <w:rPr>
          <w:lang w:val="en-GB"/>
        </w:rPr>
        <w:t xml:space="preserve">UN (2016). Composition of macro geographical (continental) regions, geographical sub-regions, and selected economic and other groupings. </w:t>
      </w:r>
      <w:hyperlink r:id="rId19" w:history="1">
        <w:r w:rsidRPr="00927CF7">
          <w:rPr>
            <w:rStyle w:val="Hyperlink"/>
          </w:rPr>
          <w:t>http://unstats.un.org/unsd/methods/m49/m49regin.htm</w:t>
        </w:r>
      </w:hyperlink>
      <w:r w:rsidR="007C5E9C" w:rsidRPr="00FC759D">
        <w:rPr>
          <w:rStyle w:val="Hyperlink"/>
          <w:u w:val="none"/>
        </w:rPr>
        <w:t xml:space="preserve"> </w:t>
      </w:r>
      <w:r w:rsidR="007C5E9C" w:rsidRPr="00FC759D">
        <w:rPr>
          <w:rStyle w:val="Hyperlink"/>
          <w:color w:val="auto"/>
          <w:u w:val="none"/>
        </w:rPr>
        <w:t>Accessed 29.12.2016</w:t>
      </w:r>
    </w:p>
    <w:p w14:paraId="4B50BEC2" w14:textId="4D4CB95B" w:rsidR="00C03000" w:rsidRPr="00C03000" w:rsidRDefault="00C03000" w:rsidP="00D82F64">
      <w:pPr>
        <w:pStyle w:val="Referencetext"/>
        <w:spacing w:before="240" w:after="0"/>
        <w:rPr>
          <w:lang w:val="en-GB"/>
        </w:rPr>
      </w:pPr>
      <w:r>
        <w:t xml:space="preserve">USDA (2016). </w:t>
      </w:r>
      <w:r w:rsidRPr="00C03000">
        <w:rPr>
          <w:lang w:val="en-GB"/>
        </w:rPr>
        <w:t xml:space="preserve">National Agricultural Library. </w:t>
      </w:r>
      <w:hyperlink r:id="rId20" w:history="1">
        <w:r w:rsidRPr="00C03000">
          <w:rPr>
            <w:rStyle w:val="Hyperlink"/>
            <w:lang w:val="en-GB"/>
          </w:rPr>
          <w:t>http://agclass.nal.usda.gov/mtwdk.exe?s=1&amp;n=1&amp;y=0&amp;l=60&amp;k=glossary&amp;t=2&amp;w=release+assessment</w:t>
        </w:r>
      </w:hyperlink>
      <w:r w:rsidR="007C5E9C" w:rsidRPr="00FC759D">
        <w:rPr>
          <w:rStyle w:val="Hyperlink"/>
          <w:u w:val="none"/>
        </w:rPr>
        <w:t xml:space="preserve"> </w:t>
      </w:r>
      <w:r w:rsidR="007C5E9C" w:rsidRPr="00FC759D">
        <w:rPr>
          <w:rStyle w:val="Hyperlink"/>
          <w:color w:val="auto"/>
          <w:u w:val="none"/>
        </w:rPr>
        <w:t>Accessed 29.12.2016</w:t>
      </w:r>
    </w:p>
    <w:p w14:paraId="73B2FCA7" w14:textId="136FB533" w:rsidR="00333D38" w:rsidRPr="000A720D" w:rsidRDefault="00C03000" w:rsidP="00D82F64">
      <w:pPr>
        <w:pStyle w:val="Referencetext"/>
        <w:spacing w:before="240" w:after="0"/>
      </w:pPr>
      <w:r w:rsidRPr="00C03000">
        <w:rPr>
          <w:lang w:val="en-GB"/>
        </w:rPr>
        <w:t xml:space="preserve">WSPA (2008). Global Companion Animal Ownership and Trade: Project Summary, June 2008. World Society for the Protection of Animals (WSPA). </w:t>
      </w:r>
      <w:hyperlink r:id="rId21" w:history="1">
        <w:r w:rsidRPr="000A720D">
          <w:rPr>
            <w:rStyle w:val="Hyperlink"/>
          </w:rPr>
          <w:t>http://s3.amazonaws.com/zanran_storage/www.wspa.org.uk/ContentPages/48536804.pdf</w:t>
        </w:r>
      </w:hyperlink>
      <w:r w:rsidR="007C5E9C" w:rsidRPr="007C5E9C">
        <w:rPr>
          <w:rStyle w:val="Hyperlink"/>
        </w:rPr>
        <w:t xml:space="preserve"> </w:t>
      </w:r>
      <w:r w:rsidR="007C5E9C" w:rsidRPr="00FC759D">
        <w:rPr>
          <w:rStyle w:val="Hyperlink"/>
          <w:color w:val="auto"/>
          <w:u w:val="none"/>
        </w:rPr>
        <w:t>Accessed 29.12.2016</w:t>
      </w:r>
    </w:p>
    <w:sectPr w:rsidR="00333D38" w:rsidRPr="000A720D" w:rsidSect="0004342F">
      <w:headerReference w:type="default" r:id="rId22"/>
      <w:footnotePr>
        <w:numFmt w:val="chicago"/>
      </w:footnotePr>
      <w:pgSz w:w="11906" w:h="16838"/>
      <w:pgMar w:top="1440" w:right="1440" w:bottom="1440" w:left="1440" w:header="706" w:footer="706"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949630" w15:done="0"/>
  <w15:commentEx w15:paraId="12A7623E" w15:done="0"/>
  <w15:commentEx w15:paraId="240080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6E903" w14:textId="77777777" w:rsidR="00EE479D" w:rsidRDefault="00EE479D">
      <w:r>
        <w:separator/>
      </w:r>
    </w:p>
  </w:endnote>
  <w:endnote w:type="continuationSeparator" w:id="0">
    <w:p w14:paraId="1772B01A" w14:textId="77777777" w:rsidR="00EE479D" w:rsidRDefault="00EE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E796" w14:textId="77777777" w:rsidR="00EE479D" w:rsidRDefault="00EE479D">
      <w:r>
        <w:separator/>
      </w:r>
    </w:p>
  </w:footnote>
  <w:footnote w:type="continuationSeparator" w:id="0">
    <w:p w14:paraId="5ED127CF" w14:textId="77777777" w:rsidR="00EE479D" w:rsidRDefault="00EE479D">
      <w:r>
        <w:continuationSeparator/>
      </w:r>
    </w:p>
  </w:footnote>
  <w:footnote w:id="1">
    <w:p w14:paraId="59DABC62" w14:textId="3F871089" w:rsidR="009403FB" w:rsidRPr="00211E75" w:rsidRDefault="009403FB" w:rsidP="00211E75">
      <w:pPr>
        <w:pStyle w:val="FootnoteText"/>
        <w:rPr>
          <w:sz w:val="24"/>
          <w:szCs w:val="24"/>
          <w:lang w:val="en-GB"/>
        </w:rPr>
      </w:pPr>
      <w:r>
        <w:rPr>
          <w:rStyle w:val="FootnoteReference"/>
        </w:rPr>
        <w:footnoteRef/>
      </w:r>
      <w:r w:rsidRPr="00211E75">
        <w:rPr>
          <w:lang w:val="en-GB"/>
        </w:rPr>
        <w:t xml:space="preserve"> </w:t>
      </w:r>
      <w:r w:rsidRPr="00211E75">
        <w:rPr>
          <w:sz w:val="24"/>
          <w:szCs w:val="24"/>
          <w:lang w:val="en-GB"/>
        </w:rPr>
        <w:t xml:space="preserve">Robin Richard </w:t>
      </w:r>
      <w:proofErr w:type="spellStart"/>
      <w:r w:rsidRPr="00211E75">
        <w:rPr>
          <w:sz w:val="24"/>
          <w:szCs w:val="24"/>
          <w:lang w:val="en-GB"/>
        </w:rPr>
        <w:t>Lacey</w:t>
      </w:r>
      <w:proofErr w:type="spellEnd"/>
      <w:r w:rsidRPr="00211E75">
        <w:rPr>
          <w:sz w:val="24"/>
          <w:szCs w:val="24"/>
          <w:lang w:val="en-GB"/>
        </w:rPr>
        <w:t xml:space="preserve"> Simons, Animal and Plant Health Agency (APHA), New Haw, </w:t>
      </w:r>
      <w:proofErr w:type="spellStart"/>
      <w:r w:rsidRPr="00211E75">
        <w:rPr>
          <w:sz w:val="24"/>
          <w:szCs w:val="24"/>
          <w:lang w:val="en-GB"/>
        </w:rPr>
        <w:t>Addlestone</w:t>
      </w:r>
      <w:proofErr w:type="spellEnd"/>
      <w:r w:rsidRPr="00211E75">
        <w:rPr>
          <w:sz w:val="24"/>
          <w:szCs w:val="24"/>
          <w:lang w:val="en-GB"/>
        </w:rPr>
        <w:t>, Surrey, KT15 3NB</w:t>
      </w:r>
      <w:r>
        <w:rPr>
          <w:sz w:val="24"/>
          <w:szCs w:val="24"/>
          <w:lang w:val="en-GB"/>
        </w:rPr>
        <w:t>,</w:t>
      </w:r>
      <w:r w:rsidRPr="00211E75">
        <w:rPr>
          <w:sz w:val="24"/>
          <w:szCs w:val="24"/>
          <w:lang w:val="en-GB"/>
        </w:rPr>
        <w:t xml:space="preserve"> UK</w:t>
      </w:r>
      <w:r>
        <w:rPr>
          <w:sz w:val="24"/>
          <w:szCs w:val="24"/>
          <w:lang w:val="en-GB"/>
        </w:rPr>
        <w:t>.</w:t>
      </w:r>
      <w:r w:rsidRPr="00211E75">
        <w:rPr>
          <w:sz w:val="24"/>
          <w:szCs w:val="24"/>
          <w:lang w:val="en-GB"/>
        </w:rPr>
        <w:t xml:space="preserve"> Email: </w:t>
      </w:r>
      <w:hyperlink r:id="rId1" w:history="1">
        <w:r w:rsidRPr="00211E75">
          <w:rPr>
            <w:rStyle w:val="Hyperlink"/>
            <w:rFonts w:cs="Arial"/>
            <w:noProof/>
            <w:sz w:val="24"/>
            <w:szCs w:val="24"/>
            <w:lang w:val="en-GB" w:eastAsia="en-GB"/>
          </w:rPr>
          <w:t>Robin.Simons@apha.gsi.gov.uk</w:t>
        </w:r>
      </w:hyperlink>
    </w:p>
  </w:footnote>
  <w:footnote w:id="2">
    <w:p w14:paraId="7360CA03" w14:textId="2274264E" w:rsidR="009403FB" w:rsidRPr="00D82F64" w:rsidRDefault="009403FB">
      <w:pPr>
        <w:pStyle w:val="FootnoteText"/>
        <w:rPr>
          <w:lang w:val="en-GB"/>
        </w:rPr>
      </w:pPr>
      <w:r>
        <w:rPr>
          <w:rStyle w:val="FootnoteReference"/>
        </w:rPr>
        <w:footnoteRef/>
      </w:r>
      <w:r>
        <w:t xml:space="preserve"> </w:t>
      </w:r>
      <w:r w:rsidRPr="00B879B1">
        <w:t>https://stat.ethz.ch/R-manual/R-devel/library/MASS/html/fitdistr.html</w:t>
      </w:r>
    </w:p>
  </w:footnote>
  <w:footnote w:id="3">
    <w:p w14:paraId="06802919" w14:textId="41827CC5" w:rsidR="009403FB" w:rsidRPr="00D82F64" w:rsidRDefault="009403FB">
      <w:pPr>
        <w:pStyle w:val="FootnoteText"/>
        <w:rPr>
          <w:lang w:val="en-GB"/>
        </w:rPr>
      </w:pPr>
      <w:r>
        <w:rPr>
          <w:rStyle w:val="FootnoteReference"/>
        </w:rPr>
        <w:footnoteRef/>
      </w:r>
      <w:r>
        <w:t xml:space="preserve"> </w:t>
      </w:r>
      <w:r w:rsidRPr="00722A89">
        <w:t>https://stat.ethz.ch/R-manual/R-devel/library/stats/html/ks.test.html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2928A" w14:textId="45CF6F87" w:rsidR="0004342F" w:rsidRDefault="0004342F">
    <w:pPr>
      <w:pStyle w:val="Header"/>
    </w:pPr>
    <w:r>
      <w:t>Preprint version of proceedings paper presented at the annual meeting of the Society of Veterinary and Preventive Medicine (</w:t>
    </w:r>
    <w:hyperlink r:id="rId1" w:history="1">
      <w:r>
        <w:rPr>
          <w:rStyle w:val="Hyperlink"/>
        </w:rPr>
        <w:t>www.svepm.org.uk</w:t>
      </w:r>
    </w:hyperlink>
    <w:r>
      <w:t>) in Inverness on 29-31 March 2017</w:t>
    </w:r>
  </w:p>
  <w:p w14:paraId="104C4FDB" w14:textId="77777777" w:rsidR="0004342F" w:rsidRDefault="0004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D73"/>
    <w:multiLevelType w:val="singleLevel"/>
    <w:tmpl w:val="1A6CFED2"/>
    <w:lvl w:ilvl="0">
      <w:start w:val="1"/>
      <w:numFmt w:val="decimal"/>
      <w:lvlText w:val="%1."/>
      <w:lvlJc w:val="left"/>
      <w:pPr>
        <w:tabs>
          <w:tab w:val="num" w:pos="720"/>
        </w:tabs>
        <w:ind w:left="720" w:hanging="720"/>
      </w:pPr>
      <w:rPr>
        <w:rFonts w:hint="default"/>
      </w:rPr>
    </w:lvl>
  </w:abstractNum>
  <w:abstractNum w:abstractNumId="1">
    <w:nsid w:val="2678029C"/>
    <w:multiLevelType w:val="singleLevel"/>
    <w:tmpl w:val="0809000F"/>
    <w:lvl w:ilvl="0">
      <w:start w:val="1"/>
      <w:numFmt w:val="decimal"/>
      <w:lvlText w:val="%1."/>
      <w:lvlJc w:val="left"/>
      <w:pPr>
        <w:tabs>
          <w:tab w:val="num" w:pos="360"/>
        </w:tabs>
        <w:ind w:left="360" w:hanging="360"/>
      </w:pPr>
    </w:lvl>
  </w:abstractNum>
  <w:abstractNum w:abstractNumId="2">
    <w:nsid w:val="3CC80D3A"/>
    <w:multiLevelType w:val="singleLevel"/>
    <w:tmpl w:val="0809000F"/>
    <w:lvl w:ilvl="0">
      <w:start w:val="18"/>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nan Marnie">
    <w15:presenceInfo w15:providerId="AD" w15:userId="S-1-5-21-1664130791-3153540899-3044996548-183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hyphenationZone w:val="425"/>
  <w:doNotHyphenateCaps/>
  <w:drawingGridHorizontalSpacing w:val="120"/>
  <w:displayHorizontalDrawingGridEvery w:val="0"/>
  <w:displayVerticalDrawingGridEvery w:val="0"/>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D1"/>
    <w:rsid w:val="00006BAF"/>
    <w:rsid w:val="000104FD"/>
    <w:rsid w:val="000156F9"/>
    <w:rsid w:val="0002428E"/>
    <w:rsid w:val="0004342F"/>
    <w:rsid w:val="0004631D"/>
    <w:rsid w:val="000532EB"/>
    <w:rsid w:val="000A720D"/>
    <w:rsid w:val="000D1F72"/>
    <w:rsid w:val="000D41FA"/>
    <w:rsid w:val="000D62DF"/>
    <w:rsid w:val="000E6C84"/>
    <w:rsid w:val="001027E4"/>
    <w:rsid w:val="001222C2"/>
    <w:rsid w:val="00134491"/>
    <w:rsid w:val="001637CF"/>
    <w:rsid w:val="00170CE1"/>
    <w:rsid w:val="001A4025"/>
    <w:rsid w:val="001C0604"/>
    <w:rsid w:val="001C3405"/>
    <w:rsid w:val="001F291E"/>
    <w:rsid w:val="00201630"/>
    <w:rsid w:val="00211E75"/>
    <w:rsid w:val="00212204"/>
    <w:rsid w:val="00231623"/>
    <w:rsid w:val="00247FE3"/>
    <w:rsid w:val="00250280"/>
    <w:rsid w:val="00257064"/>
    <w:rsid w:val="00263535"/>
    <w:rsid w:val="00285C89"/>
    <w:rsid w:val="00287FEB"/>
    <w:rsid w:val="0029161C"/>
    <w:rsid w:val="0029247A"/>
    <w:rsid w:val="00295922"/>
    <w:rsid w:val="002C7463"/>
    <w:rsid w:val="002E3EE4"/>
    <w:rsid w:val="00306977"/>
    <w:rsid w:val="003307ED"/>
    <w:rsid w:val="00333D38"/>
    <w:rsid w:val="003470DC"/>
    <w:rsid w:val="00351E73"/>
    <w:rsid w:val="003634C2"/>
    <w:rsid w:val="00376EDA"/>
    <w:rsid w:val="003A4337"/>
    <w:rsid w:val="003D0F41"/>
    <w:rsid w:val="003D4099"/>
    <w:rsid w:val="00401ABC"/>
    <w:rsid w:val="0040540C"/>
    <w:rsid w:val="0041442B"/>
    <w:rsid w:val="004216A3"/>
    <w:rsid w:val="00473E7F"/>
    <w:rsid w:val="00476D38"/>
    <w:rsid w:val="00483BA6"/>
    <w:rsid w:val="00487CB3"/>
    <w:rsid w:val="004943CE"/>
    <w:rsid w:val="004A65C4"/>
    <w:rsid w:val="004B055F"/>
    <w:rsid w:val="004C5490"/>
    <w:rsid w:val="0051616E"/>
    <w:rsid w:val="00517527"/>
    <w:rsid w:val="005416CB"/>
    <w:rsid w:val="005550B3"/>
    <w:rsid w:val="0056417C"/>
    <w:rsid w:val="00565818"/>
    <w:rsid w:val="00574496"/>
    <w:rsid w:val="0057617B"/>
    <w:rsid w:val="00581A9D"/>
    <w:rsid w:val="005844A7"/>
    <w:rsid w:val="0059003B"/>
    <w:rsid w:val="005944DE"/>
    <w:rsid w:val="005B5BBD"/>
    <w:rsid w:val="005C3482"/>
    <w:rsid w:val="005D1CA7"/>
    <w:rsid w:val="005E77BB"/>
    <w:rsid w:val="005F1618"/>
    <w:rsid w:val="005F1D80"/>
    <w:rsid w:val="005F49AA"/>
    <w:rsid w:val="00600E3F"/>
    <w:rsid w:val="0060264B"/>
    <w:rsid w:val="00604451"/>
    <w:rsid w:val="00654257"/>
    <w:rsid w:val="00666093"/>
    <w:rsid w:val="00684652"/>
    <w:rsid w:val="006B015F"/>
    <w:rsid w:val="006E11E2"/>
    <w:rsid w:val="006E339C"/>
    <w:rsid w:val="006E7FF6"/>
    <w:rsid w:val="006F196D"/>
    <w:rsid w:val="007013FC"/>
    <w:rsid w:val="00722A89"/>
    <w:rsid w:val="00725DFE"/>
    <w:rsid w:val="00751D9E"/>
    <w:rsid w:val="007548D0"/>
    <w:rsid w:val="00761E33"/>
    <w:rsid w:val="00762A2F"/>
    <w:rsid w:val="00770867"/>
    <w:rsid w:val="00796532"/>
    <w:rsid w:val="007B7588"/>
    <w:rsid w:val="007C5E9C"/>
    <w:rsid w:val="00815E8E"/>
    <w:rsid w:val="00823A53"/>
    <w:rsid w:val="00833472"/>
    <w:rsid w:val="008472BF"/>
    <w:rsid w:val="008761B7"/>
    <w:rsid w:val="00893A01"/>
    <w:rsid w:val="00895571"/>
    <w:rsid w:val="008B1151"/>
    <w:rsid w:val="008B1AD1"/>
    <w:rsid w:val="008B72E2"/>
    <w:rsid w:val="008C3249"/>
    <w:rsid w:val="008C5B8B"/>
    <w:rsid w:val="008C756F"/>
    <w:rsid w:val="008F3E60"/>
    <w:rsid w:val="00912EAF"/>
    <w:rsid w:val="00933A44"/>
    <w:rsid w:val="009403FB"/>
    <w:rsid w:val="00963B77"/>
    <w:rsid w:val="00981AD4"/>
    <w:rsid w:val="00985350"/>
    <w:rsid w:val="009927C0"/>
    <w:rsid w:val="009A0AA5"/>
    <w:rsid w:val="009A6279"/>
    <w:rsid w:val="009C1EBC"/>
    <w:rsid w:val="009D2163"/>
    <w:rsid w:val="009D7E9D"/>
    <w:rsid w:val="009E62E3"/>
    <w:rsid w:val="009E7F7F"/>
    <w:rsid w:val="00A13BAD"/>
    <w:rsid w:val="00A35C6B"/>
    <w:rsid w:val="00A62E49"/>
    <w:rsid w:val="00A63B11"/>
    <w:rsid w:val="00A76E02"/>
    <w:rsid w:val="00AC68BF"/>
    <w:rsid w:val="00AD6A04"/>
    <w:rsid w:val="00B727BB"/>
    <w:rsid w:val="00B879B1"/>
    <w:rsid w:val="00BA6E4E"/>
    <w:rsid w:val="00BB36FD"/>
    <w:rsid w:val="00BB4B4E"/>
    <w:rsid w:val="00BB5F49"/>
    <w:rsid w:val="00BD35D6"/>
    <w:rsid w:val="00BD6CAD"/>
    <w:rsid w:val="00BD7C77"/>
    <w:rsid w:val="00BE0D2A"/>
    <w:rsid w:val="00BE3E0D"/>
    <w:rsid w:val="00BE6215"/>
    <w:rsid w:val="00BE7E11"/>
    <w:rsid w:val="00C03000"/>
    <w:rsid w:val="00C31175"/>
    <w:rsid w:val="00C50463"/>
    <w:rsid w:val="00C825F3"/>
    <w:rsid w:val="00C83B30"/>
    <w:rsid w:val="00CA25B5"/>
    <w:rsid w:val="00CB06A4"/>
    <w:rsid w:val="00CB39D3"/>
    <w:rsid w:val="00CB5399"/>
    <w:rsid w:val="00CB5D75"/>
    <w:rsid w:val="00CC1E20"/>
    <w:rsid w:val="00CE0A87"/>
    <w:rsid w:val="00CE3A46"/>
    <w:rsid w:val="00D24147"/>
    <w:rsid w:val="00D41305"/>
    <w:rsid w:val="00D46238"/>
    <w:rsid w:val="00D82F64"/>
    <w:rsid w:val="00D92D7E"/>
    <w:rsid w:val="00DA17A5"/>
    <w:rsid w:val="00DA2CDC"/>
    <w:rsid w:val="00DB08D2"/>
    <w:rsid w:val="00DD2003"/>
    <w:rsid w:val="00DD558C"/>
    <w:rsid w:val="00DE4E3E"/>
    <w:rsid w:val="00E404A9"/>
    <w:rsid w:val="00E425C6"/>
    <w:rsid w:val="00E65D83"/>
    <w:rsid w:val="00E76EB1"/>
    <w:rsid w:val="00EB0227"/>
    <w:rsid w:val="00EB46DF"/>
    <w:rsid w:val="00EE26CC"/>
    <w:rsid w:val="00EE479D"/>
    <w:rsid w:val="00F00B87"/>
    <w:rsid w:val="00F070C1"/>
    <w:rsid w:val="00F124C0"/>
    <w:rsid w:val="00FB512A"/>
    <w:rsid w:val="00FC759D"/>
    <w:rsid w:val="00FD078E"/>
    <w:rsid w:val="00FD1B3D"/>
    <w:rsid w:val="00FD3547"/>
    <w:rsid w:val="00FF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3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99"/>
    <w:rPr>
      <w:sz w:val="24"/>
      <w:lang w:val="da-DK"/>
    </w:rPr>
  </w:style>
  <w:style w:type="paragraph" w:styleId="Heading1">
    <w:name w:val="heading 1"/>
    <w:basedOn w:val="Normal"/>
    <w:next w:val="Normal"/>
    <w:link w:val="Heading1Char"/>
    <w:qFormat/>
    <w:rsid w:val="00CB539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B0227"/>
    <w:pPr>
      <w:keepNext/>
      <w:jc w:val="center"/>
      <w:outlineLvl w:val="1"/>
    </w:pPr>
    <w:rPr>
      <w:b/>
      <w:bCs/>
    </w:rPr>
  </w:style>
  <w:style w:type="paragraph" w:styleId="Heading3">
    <w:name w:val="heading 3"/>
    <w:basedOn w:val="Normal"/>
    <w:next w:val="Normal"/>
    <w:link w:val="Heading3Char"/>
    <w:uiPriority w:val="99"/>
    <w:qFormat/>
    <w:rsid w:val="00EB0227"/>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227"/>
    <w:rPr>
      <w:rFonts w:ascii="Arial" w:hAnsi="Arial"/>
      <w:b/>
      <w:kern w:val="28"/>
      <w:sz w:val="28"/>
      <w:lang w:eastAsia="en-US"/>
    </w:rPr>
  </w:style>
  <w:style w:type="character" w:customStyle="1" w:styleId="Heading2Char">
    <w:name w:val="Heading 2 Char"/>
    <w:basedOn w:val="DefaultParagraphFont"/>
    <w:link w:val="Heading2"/>
    <w:uiPriority w:val="9"/>
    <w:semiHidden/>
    <w:rsid w:val="00EB022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B0227"/>
    <w:rPr>
      <w:rFonts w:ascii="Cambria" w:eastAsia="Times New Roman" w:hAnsi="Cambria" w:cs="Times New Roman"/>
      <w:b/>
      <w:bCs/>
      <w:sz w:val="26"/>
      <w:szCs w:val="26"/>
      <w:lang w:eastAsia="en-US"/>
    </w:rPr>
  </w:style>
  <w:style w:type="paragraph" w:styleId="EnvelopeAddress">
    <w:name w:val="envelope address"/>
    <w:basedOn w:val="Normal"/>
    <w:uiPriority w:val="99"/>
    <w:rsid w:val="00EB0227"/>
    <w:pPr>
      <w:framePr w:w="7920" w:h="1980" w:hRule="exact" w:hSpace="180" w:wrap="auto" w:hAnchor="page" w:xAlign="center" w:yAlign="bottom"/>
      <w:ind w:left="2880"/>
    </w:pPr>
  </w:style>
  <w:style w:type="paragraph" w:styleId="BodyText">
    <w:name w:val="Body Text"/>
    <w:basedOn w:val="Normal"/>
    <w:link w:val="BodyTextChar"/>
    <w:rsid w:val="00CB5399"/>
    <w:pPr>
      <w:jc w:val="both"/>
    </w:pPr>
  </w:style>
  <w:style w:type="character" w:customStyle="1" w:styleId="BodyTextChar">
    <w:name w:val="Body Text Char"/>
    <w:basedOn w:val="DefaultParagraphFont"/>
    <w:link w:val="BodyText"/>
    <w:rsid w:val="00EB0227"/>
    <w:rPr>
      <w:sz w:val="24"/>
      <w:lang w:eastAsia="en-US"/>
    </w:rPr>
  </w:style>
  <w:style w:type="character" w:styleId="FootnoteReference">
    <w:name w:val="footnote reference"/>
    <w:basedOn w:val="DefaultParagraphFont"/>
    <w:uiPriority w:val="99"/>
    <w:semiHidden/>
    <w:rsid w:val="00EB0227"/>
    <w:rPr>
      <w:vertAlign w:val="superscript"/>
    </w:rPr>
  </w:style>
  <w:style w:type="paragraph" w:styleId="FootnoteText">
    <w:name w:val="footnote text"/>
    <w:basedOn w:val="Normal"/>
    <w:link w:val="FootnoteTextChar"/>
    <w:uiPriority w:val="99"/>
    <w:semiHidden/>
    <w:rsid w:val="00EB0227"/>
    <w:rPr>
      <w:sz w:val="20"/>
    </w:rPr>
  </w:style>
  <w:style w:type="character" w:customStyle="1" w:styleId="FootnoteTextChar">
    <w:name w:val="Footnote Text Char"/>
    <w:basedOn w:val="DefaultParagraphFont"/>
    <w:link w:val="FootnoteText"/>
    <w:uiPriority w:val="99"/>
    <w:semiHidden/>
    <w:rsid w:val="00EB0227"/>
    <w:rPr>
      <w:sz w:val="20"/>
      <w:szCs w:val="20"/>
      <w:lang w:eastAsia="en-US"/>
    </w:rPr>
  </w:style>
  <w:style w:type="paragraph" w:styleId="Footer">
    <w:name w:val="footer"/>
    <w:basedOn w:val="Normal"/>
    <w:link w:val="FooterChar"/>
    <w:uiPriority w:val="99"/>
    <w:rsid w:val="00EB0227"/>
    <w:pPr>
      <w:tabs>
        <w:tab w:val="center" w:pos="4153"/>
        <w:tab w:val="right" w:pos="8306"/>
      </w:tabs>
    </w:pPr>
  </w:style>
  <w:style w:type="character" w:customStyle="1" w:styleId="FooterChar">
    <w:name w:val="Footer Char"/>
    <w:basedOn w:val="DefaultParagraphFont"/>
    <w:link w:val="Footer"/>
    <w:uiPriority w:val="99"/>
    <w:rsid w:val="00EB0227"/>
    <w:rPr>
      <w:sz w:val="24"/>
      <w:szCs w:val="24"/>
      <w:lang w:eastAsia="en-US"/>
    </w:rPr>
  </w:style>
  <w:style w:type="character" w:styleId="PageNumber">
    <w:name w:val="page number"/>
    <w:basedOn w:val="DefaultParagraphFont"/>
    <w:uiPriority w:val="99"/>
    <w:rsid w:val="00EB0227"/>
  </w:style>
  <w:style w:type="paragraph" w:customStyle="1" w:styleId="TitleBlock">
    <w:name w:val="*TitleBlock"/>
    <w:basedOn w:val="Normal"/>
    <w:qFormat/>
    <w:rsid w:val="00CB5399"/>
    <w:pPr>
      <w:spacing w:before="1200" w:line="480" w:lineRule="auto"/>
      <w:jc w:val="center"/>
    </w:pPr>
    <w:rPr>
      <w:caps/>
    </w:rPr>
  </w:style>
  <w:style w:type="paragraph" w:customStyle="1" w:styleId="SVEPMParagraphFormat">
    <w:name w:val="*SVEPMParagraphFormat"/>
    <w:basedOn w:val="Normal"/>
    <w:qFormat/>
    <w:rsid w:val="005F1618"/>
    <w:pPr>
      <w:spacing w:after="240"/>
      <w:ind w:firstLine="284"/>
      <w:jc w:val="both"/>
    </w:pPr>
  </w:style>
  <w:style w:type="paragraph" w:customStyle="1" w:styleId="1stdegreeheading">
    <w:name w:val="*1st degree heading"/>
    <w:basedOn w:val="SVEPMParagraphFormat"/>
    <w:next w:val="SVEPMParagraphFormat"/>
    <w:qFormat/>
    <w:rsid w:val="005B5BBD"/>
    <w:pPr>
      <w:keepNext/>
      <w:spacing w:before="480"/>
      <w:ind w:firstLine="0"/>
      <w:jc w:val="left"/>
    </w:pPr>
    <w:rPr>
      <w:caps/>
    </w:rPr>
  </w:style>
  <w:style w:type="paragraph" w:customStyle="1" w:styleId="Referencetext">
    <w:name w:val="*Reference text"/>
    <w:basedOn w:val="SVEPMParagraphFormat"/>
    <w:qFormat/>
    <w:rsid w:val="00CB5399"/>
    <w:pPr>
      <w:ind w:left="403" w:hanging="403"/>
    </w:pPr>
  </w:style>
  <w:style w:type="paragraph" w:customStyle="1" w:styleId="TableTitle">
    <w:name w:val="*TableTitle"/>
    <w:basedOn w:val="FigureTitle"/>
    <w:next w:val="SVEPMParagraphFormat"/>
    <w:qFormat/>
    <w:rsid w:val="005B5BBD"/>
    <w:pPr>
      <w:keepNext/>
      <w:spacing w:before="0"/>
    </w:pPr>
  </w:style>
  <w:style w:type="paragraph" w:customStyle="1" w:styleId="AuthorBlock">
    <w:name w:val="*AuthorBlock"/>
    <w:basedOn w:val="TitleBlock"/>
    <w:qFormat/>
    <w:rsid w:val="005F1618"/>
    <w:pPr>
      <w:spacing w:before="0" w:after="720" w:line="240" w:lineRule="auto"/>
    </w:pPr>
  </w:style>
  <w:style w:type="paragraph" w:customStyle="1" w:styleId="2nddegreeheading">
    <w:name w:val="*2nd degree heading"/>
    <w:basedOn w:val="SVEPMParagraphFormat"/>
    <w:next w:val="SVEPMParagraphFormat"/>
    <w:qFormat/>
    <w:rsid w:val="005B5BBD"/>
    <w:pPr>
      <w:keepNext/>
      <w:spacing w:before="240"/>
      <w:ind w:firstLine="0"/>
    </w:pPr>
    <w:rPr>
      <w:u w:val="single"/>
    </w:rPr>
  </w:style>
  <w:style w:type="paragraph" w:customStyle="1" w:styleId="Equation">
    <w:name w:val="*Equation"/>
    <w:basedOn w:val="SVEPMParagraphFormat"/>
    <w:next w:val="SVEPMParagraphFormat"/>
    <w:qFormat/>
    <w:rsid w:val="005B5BBD"/>
    <w:pPr>
      <w:tabs>
        <w:tab w:val="center" w:pos="4536"/>
        <w:tab w:val="right" w:pos="8931"/>
      </w:tabs>
      <w:ind w:firstLine="0"/>
      <w:jc w:val="left"/>
    </w:pPr>
    <w:rPr>
      <w:caps/>
    </w:rPr>
  </w:style>
  <w:style w:type="paragraph" w:customStyle="1" w:styleId="font5">
    <w:name w:val="font5"/>
    <w:basedOn w:val="Normal"/>
    <w:uiPriority w:val="99"/>
    <w:rsid w:val="00EB0227"/>
    <w:pPr>
      <w:spacing w:before="100" w:after="100"/>
    </w:pPr>
    <w:rPr>
      <w:rFonts w:ascii="Arial" w:hAnsi="Arial" w:cs="Arial"/>
      <w:sz w:val="18"/>
      <w:szCs w:val="18"/>
    </w:rPr>
  </w:style>
  <w:style w:type="character" w:styleId="CommentReference">
    <w:name w:val="annotation reference"/>
    <w:basedOn w:val="DefaultParagraphFont"/>
    <w:uiPriority w:val="99"/>
    <w:semiHidden/>
    <w:rsid w:val="00EB0227"/>
    <w:rPr>
      <w:sz w:val="16"/>
      <w:szCs w:val="16"/>
    </w:rPr>
  </w:style>
  <w:style w:type="paragraph" w:styleId="CommentText">
    <w:name w:val="annotation text"/>
    <w:basedOn w:val="Normal"/>
    <w:link w:val="CommentTextChar"/>
    <w:uiPriority w:val="99"/>
    <w:semiHidden/>
    <w:rsid w:val="00EB0227"/>
    <w:rPr>
      <w:sz w:val="20"/>
    </w:rPr>
  </w:style>
  <w:style w:type="character" w:customStyle="1" w:styleId="CommentTextChar">
    <w:name w:val="Comment Text Char"/>
    <w:basedOn w:val="DefaultParagraphFont"/>
    <w:link w:val="CommentText"/>
    <w:uiPriority w:val="99"/>
    <w:semiHidden/>
    <w:rsid w:val="00EB0227"/>
    <w:rPr>
      <w:sz w:val="20"/>
      <w:szCs w:val="20"/>
      <w:lang w:eastAsia="en-US"/>
    </w:rPr>
  </w:style>
  <w:style w:type="paragraph" w:customStyle="1" w:styleId="3rdDegreeHeading">
    <w:name w:val="*3rd Degree Heading"/>
    <w:basedOn w:val="2nddegreeheading"/>
    <w:qFormat/>
    <w:rsid w:val="00CB5399"/>
    <w:pPr>
      <w:spacing w:after="0"/>
    </w:pPr>
  </w:style>
  <w:style w:type="paragraph" w:customStyle="1" w:styleId="FigureTitle">
    <w:name w:val="*FigureTitle"/>
    <w:basedOn w:val="Normal"/>
    <w:qFormat/>
    <w:rsid w:val="00CB5399"/>
    <w:pPr>
      <w:spacing w:before="240" w:after="240"/>
      <w:jc w:val="center"/>
    </w:pPr>
  </w:style>
  <w:style w:type="paragraph" w:styleId="BalloonText">
    <w:name w:val="Balloon Text"/>
    <w:basedOn w:val="Normal"/>
    <w:link w:val="BalloonTextChar"/>
    <w:uiPriority w:val="99"/>
    <w:semiHidden/>
    <w:unhideWhenUsed/>
    <w:rsid w:val="00DE4E3E"/>
    <w:rPr>
      <w:rFonts w:ascii="Tahoma" w:hAnsi="Tahoma" w:cs="Tahoma"/>
      <w:sz w:val="16"/>
      <w:szCs w:val="16"/>
    </w:rPr>
  </w:style>
  <w:style w:type="character" w:customStyle="1" w:styleId="BalloonTextChar">
    <w:name w:val="Balloon Text Char"/>
    <w:basedOn w:val="DefaultParagraphFont"/>
    <w:link w:val="BalloonText"/>
    <w:uiPriority w:val="99"/>
    <w:semiHidden/>
    <w:rsid w:val="00DE4E3E"/>
    <w:rPr>
      <w:rFonts w:ascii="Tahoma" w:hAnsi="Tahoma" w:cs="Tahoma"/>
      <w:sz w:val="16"/>
      <w:szCs w:val="16"/>
      <w:lang w:val="en-GB"/>
    </w:rPr>
  </w:style>
  <w:style w:type="paragraph" w:styleId="ListParagraph">
    <w:name w:val="List Paragraph"/>
    <w:basedOn w:val="Normal"/>
    <w:uiPriority w:val="34"/>
    <w:qFormat/>
    <w:rsid w:val="00DE4E3E"/>
    <w:pPr>
      <w:ind w:left="720"/>
      <w:contextualSpacing/>
    </w:pPr>
  </w:style>
  <w:style w:type="character" w:styleId="Hyperlink">
    <w:name w:val="Hyperlink"/>
    <w:basedOn w:val="DefaultParagraphFont"/>
    <w:uiPriority w:val="99"/>
    <w:unhideWhenUsed/>
    <w:rsid w:val="006E7FF6"/>
    <w:rPr>
      <w:color w:val="0000FF" w:themeColor="hyperlink"/>
      <w:u w:val="single"/>
    </w:rPr>
  </w:style>
  <w:style w:type="paragraph" w:styleId="Header">
    <w:name w:val="header"/>
    <w:basedOn w:val="Normal"/>
    <w:link w:val="HeaderChar"/>
    <w:uiPriority w:val="99"/>
    <w:unhideWhenUsed/>
    <w:rsid w:val="005F1618"/>
    <w:pPr>
      <w:tabs>
        <w:tab w:val="center" w:pos="4536"/>
        <w:tab w:val="right" w:pos="9072"/>
      </w:tabs>
    </w:pPr>
  </w:style>
  <w:style w:type="character" w:customStyle="1" w:styleId="HeaderChar">
    <w:name w:val="Header Char"/>
    <w:basedOn w:val="DefaultParagraphFont"/>
    <w:link w:val="Header"/>
    <w:uiPriority w:val="99"/>
    <w:rsid w:val="005F1618"/>
    <w:rPr>
      <w:sz w:val="24"/>
      <w:lang w:val="en-GB"/>
    </w:rPr>
  </w:style>
  <w:style w:type="paragraph" w:styleId="CommentSubject">
    <w:name w:val="annotation subject"/>
    <w:basedOn w:val="CommentText"/>
    <w:next w:val="CommentText"/>
    <w:link w:val="CommentSubjectChar"/>
    <w:uiPriority w:val="99"/>
    <w:semiHidden/>
    <w:unhideWhenUsed/>
    <w:rsid w:val="0002428E"/>
    <w:rPr>
      <w:b/>
      <w:bCs/>
    </w:rPr>
  </w:style>
  <w:style w:type="character" w:customStyle="1" w:styleId="CommentSubjectChar">
    <w:name w:val="Comment Subject Char"/>
    <w:basedOn w:val="CommentTextChar"/>
    <w:link w:val="CommentSubject"/>
    <w:uiPriority w:val="99"/>
    <w:semiHidden/>
    <w:rsid w:val="0002428E"/>
    <w:rPr>
      <w:b/>
      <w:bCs/>
      <w:sz w:val="20"/>
      <w:szCs w:val="20"/>
      <w:lang w:val="da-DK" w:eastAsia="en-US"/>
    </w:rPr>
  </w:style>
  <w:style w:type="paragraph" w:styleId="Revision">
    <w:name w:val="Revision"/>
    <w:hidden/>
    <w:uiPriority w:val="99"/>
    <w:semiHidden/>
    <w:rsid w:val="009D7E9D"/>
    <w:rPr>
      <w:sz w:val="24"/>
      <w:lang w:val="da-DK"/>
    </w:rPr>
  </w:style>
  <w:style w:type="character" w:styleId="PlaceholderText">
    <w:name w:val="Placeholder Text"/>
    <w:basedOn w:val="DefaultParagraphFont"/>
    <w:uiPriority w:val="99"/>
    <w:semiHidden/>
    <w:rsid w:val="001637CF"/>
    <w:rPr>
      <w:color w:val="808080"/>
    </w:rPr>
  </w:style>
  <w:style w:type="character" w:styleId="FollowedHyperlink">
    <w:name w:val="FollowedHyperlink"/>
    <w:basedOn w:val="DefaultParagraphFont"/>
    <w:uiPriority w:val="99"/>
    <w:semiHidden/>
    <w:unhideWhenUsed/>
    <w:rsid w:val="00EB46DF"/>
    <w:rPr>
      <w:color w:val="800080" w:themeColor="followedHyperlink"/>
      <w:u w:val="single"/>
    </w:rPr>
  </w:style>
  <w:style w:type="character" w:customStyle="1" w:styleId="article-headermeta-info-data">
    <w:name w:val="article-header__meta-info-data"/>
    <w:basedOn w:val="DefaultParagraphFont"/>
    <w:rsid w:val="00E40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99"/>
    <w:rPr>
      <w:sz w:val="24"/>
      <w:lang w:val="da-DK"/>
    </w:rPr>
  </w:style>
  <w:style w:type="paragraph" w:styleId="Heading1">
    <w:name w:val="heading 1"/>
    <w:basedOn w:val="Normal"/>
    <w:next w:val="Normal"/>
    <w:link w:val="Heading1Char"/>
    <w:qFormat/>
    <w:rsid w:val="00CB539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B0227"/>
    <w:pPr>
      <w:keepNext/>
      <w:jc w:val="center"/>
      <w:outlineLvl w:val="1"/>
    </w:pPr>
    <w:rPr>
      <w:b/>
      <w:bCs/>
    </w:rPr>
  </w:style>
  <w:style w:type="paragraph" w:styleId="Heading3">
    <w:name w:val="heading 3"/>
    <w:basedOn w:val="Normal"/>
    <w:next w:val="Normal"/>
    <w:link w:val="Heading3Char"/>
    <w:uiPriority w:val="99"/>
    <w:qFormat/>
    <w:rsid w:val="00EB0227"/>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227"/>
    <w:rPr>
      <w:rFonts w:ascii="Arial" w:hAnsi="Arial"/>
      <w:b/>
      <w:kern w:val="28"/>
      <w:sz w:val="28"/>
      <w:lang w:eastAsia="en-US"/>
    </w:rPr>
  </w:style>
  <w:style w:type="character" w:customStyle="1" w:styleId="Heading2Char">
    <w:name w:val="Heading 2 Char"/>
    <w:basedOn w:val="DefaultParagraphFont"/>
    <w:link w:val="Heading2"/>
    <w:uiPriority w:val="9"/>
    <w:semiHidden/>
    <w:rsid w:val="00EB0227"/>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EB0227"/>
    <w:rPr>
      <w:rFonts w:ascii="Cambria" w:eastAsia="Times New Roman" w:hAnsi="Cambria" w:cs="Times New Roman"/>
      <w:b/>
      <w:bCs/>
      <w:sz w:val="26"/>
      <w:szCs w:val="26"/>
      <w:lang w:eastAsia="en-US"/>
    </w:rPr>
  </w:style>
  <w:style w:type="paragraph" w:styleId="EnvelopeAddress">
    <w:name w:val="envelope address"/>
    <w:basedOn w:val="Normal"/>
    <w:uiPriority w:val="99"/>
    <w:rsid w:val="00EB0227"/>
    <w:pPr>
      <w:framePr w:w="7920" w:h="1980" w:hRule="exact" w:hSpace="180" w:wrap="auto" w:hAnchor="page" w:xAlign="center" w:yAlign="bottom"/>
      <w:ind w:left="2880"/>
    </w:pPr>
  </w:style>
  <w:style w:type="paragraph" w:styleId="BodyText">
    <w:name w:val="Body Text"/>
    <w:basedOn w:val="Normal"/>
    <w:link w:val="BodyTextChar"/>
    <w:rsid w:val="00CB5399"/>
    <w:pPr>
      <w:jc w:val="both"/>
    </w:pPr>
  </w:style>
  <w:style w:type="character" w:customStyle="1" w:styleId="BodyTextChar">
    <w:name w:val="Body Text Char"/>
    <w:basedOn w:val="DefaultParagraphFont"/>
    <w:link w:val="BodyText"/>
    <w:rsid w:val="00EB0227"/>
    <w:rPr>
      <w:sz w:val="24"/>
      <w:lang w:eastAsia="en-US"/>
    </w:rPr>
  </w:style>
  <w:style w:type="character" w:styleId="FootnoteReference">
    <w:name w:val="footnote reference"/>
    <w:basedOn w:val="DefaultParagraphFont"/>
    <w:uiPriority w:val="99"/>
    <w:semiHidden/>
    <w:rsid w:val="00EB0227"/>
    <w:rPr>
      <w:vertAlign w:val="superscript"/>
    </w:rPr>
  </w:style>
  <w:style w:type="paragraph" w:styleId="FootnoteText">
    <w:name w:val="footnote text"/>
    <w:basedOn w:val="Normal"/>
    <w:link w:val="FootnoteTextChar"/>
    <w:uiPriority w:val="99"/>
    <w:semiHidden/>
    <w:rsid w:val="00EB0227"/>
    <w:rPr>
      <w:sz w:val="20"/>
    </w:rPr>
  </w:style>
  <w:style w:type="character" w:customStyle="1" w:styleId="FootnoteTextChar">
    <w:name w:val="Footnote Text Char"/>
    <w:basedOn w:val="DefaultParagraphFont"/>
    <w:link w:val="FootnoteText"/>
    <w:uiPriority w:val="99"/>
    <w:semiHidden/>
    <w:rsid w:val="00EB0227"/>
    <w:rPr>
      <w:sz w:val="20"/>
      <w:szCs w:val="20"/>
      <w:lang w:eastAsia="en-US"/>
    </w:rPr>
  </w:style>
  <w:style w:type="paragraph" w:styleId="Footer">
    <w:name w:val="footer"/>
    <w:basedOn w:val="Normal"/>
    <w:link w:val="FooterChar"/>
    <w:uiPriority w:val="99"/>
    <w:rsid w:val="00EB0227"/>
    <w:pPr>
      <w:tabs>
        <w:tab w:val="center" w:pos="4153"/>
        <w:tab w:val="right" w:pos="8306"/>
      </w:tabs>
    </w:pPr>
  </w:style>
  <w:style w:type="character" w:customStyle="1" w:styleId="FooterChar">
    <w:name w:val="Footer Char"/>
    <w:basedOn w:val="DefaultParagraphFont"/>
    <w:link w:val="Footer"/>
    <w:uiPriority w:val="99"/>
    <w:rsid w:val="00EB0227"/>
    <w:rPr>
      <w:sz w:val="24"/>
      <w:szCs w:val="24"/>
      <w:lang w:eastAsia="en-US"/>
    </w:rPr>
  </w:style>
  <w:style w:type="character" w:styleId="PageNumber">
    <w:name w:val="page number"/>
    <w:basedOn w:val="DefaultParagraphFont"/>
    <w:uiPriority w:val="99"/>
    <w:rsid w:val="00EB0227"/>
  </w:style>
  <w:style w:type="paragraph" w:customStyle="1" w:styleId="TitleBlock">
    <w:name w:val="*TitleBlock"/>
    <w:basedOn w:val="Normal"/>
    <w:qFormat/>
    <w:rsid w:val="00CB5399"/>
    <w:pPr>
      <w:spacing w:before="1200" w:line="480" w:lineRule="auto"/>
      <w:jc w:val="center"/>
    </w:pPr>
    <w:rPr>
      <w:caps/>
    </w:rPr>
  </w:style>
  <w:style w:type="paragraph" w:customStyle="1" w:styleId="SVEPMParagraphFormat">
    <w:name w:val="*SVEPMParagraphFormat"/>
    <w:basedOn w:val="Normal"/>
    <w:qFormat/>
    <w:rsid w:val="005F1618"/>
    <w:pPr>
      <w:spacing w:after="240"/>
      <w:ind w:firstLine="284"/>
      <w:jc w:val="both"/>
    </w:pPr>
  </w:style>
  <w:style w:type="paragraph" w:customStyle="1" w:styleId="1stdegreeheading">
    <w:name w:val="*1st degree heading"/>
    <w:basedOn w:val="SVEPMParagraphFormat"/>
    <w:next w:val="SVEPMParagraphFormat"/>
    <w:qFormat/>
    <w:rsid w:val="005B5BBD"/>
    <w:pPr>
      <w:keepNext/>
      <w:spacing w:before="480"/>
      <w:ind w:firstLine="0"/>
      <w:jc w:val="left"/>
    </w:pPr>
    <w:rPr>
      <w:caps/>
    </w:rPr>
  </w:style>
  <w:style w:type="paragraph" w:customStyle="1" w:styleId="Referencetext">
    <w:name w:val="*Reference text"/>
    <w:basedOn w:val="SVEPMParagraphFormat"/>
    <w:qFormat/>
    <w:rsid w:val="00CB5399"/>
    <w:pPr>
      <w:ind w:left="403" w:hanging="403"/>
    </w:pPr>
  </w:style>
  <w:style w:type="paragraph" w:customStyle="1" w:styleId="TableTitle">
    <w:name w:val="*TableTitle"/>
    <w:basedOn w:val="FigureTitle"/>
    <w:next w:val="SVEPMParagraphFormat"/>
    <w:qFormat/>
    <w:rsid w:val="005B5BBD"/>
    <w:pPr>
      <w:keepNext/>
      <w:spacing w:before="0"/>
    </w:pPr>
  </w:style>
  <w:style w:type="paragraph" w:customStyle="1" w:styleId="AuthorBlock">
    <w:name w:val="*AuthorBlock"/>
    <w:basedOn w:val="TitleBlock"/>
    <w:qFormat/>
    <w:rsid w:val="005F1618"/>
    <w:pPr>
      <w:spacing w:before="0" w:after="720" w:line="240" w:lineRule="auto"/>
    </w:pPr>
  </w:style>
  <w:style w:type="paragraph" w:customStyle="1" w:styleId="2nddegreeheading">
    <w:name w:val="*2nd degree heading"/>
    <w:basedOn w:val="SVEPMParagraphFormat"/>
    <w:next w:val="SVEPMParagraphFormat"/>
    <w:qFormat/>
    <w:rsid w:val="005B5BBD"/>
    <w:pPr>
      <w:keepNext/>
      <w:spacing w:before="240"/>
      <w:ind w:firstLine="0"/>
    </w:pPr>
    <w:rPr>
      <w:u w:val="single"/>
    </w:rPr>
  </w:style>
  <w:style w:type="paragraph" w:customStyle="1" w:styleId="Equation">
    <w:name w:val="*Equation"/>
    <w:basedOn w:val="SVEPMParagraphFormat"/>
    <w:next w:val="SVEPMParagraphFormat"/>
    <w:qFormat/>
    <w:rsid w:val="005B5BBD"/>
    <w:pPr>
      <w:tabs>
        <w:tab w:val="center" w:pos="4536"/>
        <w:tab w:val="right" w:pos="8931"/>
      </w:tabs>
      <w:ind w:firstLine="0"/>
      <w:jc w:val="left"/>
    </w:pPr>
    <w:rPr>
      <w:caps/>
    </w:rPr>
  </w:style>
  <w:style w:type="paragraph" w:customStyle="1" w:styleId="font5">
    <w:name w:val="font5"/>
    <w:basedOn w:val="Normal"/>
    <w:uiPriority w:val="99"/>
    <w:rsid w:val="00EB0227"/>
    <w:pPr>
      <w:spacing w:before="100" w:after="100"/>
    </w:pPr>
    <w:rPr>
      <w:rFonts w:ascii="Arial" w:hAnsi="Arial" w:cs="Arial"/>
      <w:sz w:val="18"/>
      <w:szCs w:val="18"/>
    </w:rPr>
  </w:style>
  <w:style w:type="character" w:styleId="CommentReference">
    <w:name w:val="annotation reference"/>
    <w:basedOn w:val="DefaultParagraphFont"/>
    <w:uiPriority w:val="99"/>
    <w:semiHidden/>
    <w:rsid w:val="00EB0227"/>
    <w:rPr>
      <w:sz w:val="16"/>
      <w:szCs w:val="16"/>
    </w:rPr>
  </w:style>
  <w:style w:type="paragraph" w:styleId="CommentText">
    <w:name w:val="annotation text"/>
    <w:basedOn w:val="Normal"/>
    <w:link w:val="CommentTextChar"/>
    <w:uiPriority w:val="99"/>
    <w:semiHidden/>
    <w:rsid w:val="00EB0227"/>
    <w:rPr>
      <w:sz w:val="20"/>
    </w:rPr>
  </w:style>
  <w:style w:type="character" w:customStyle="1" w:styleId="CommentTextChar">
    <w:name w:val="Comment Text Char"/>
    <w:basedOn w:val="DefaultParagraphFont"/>
    <w:link w:val="CommentText"/>
    <w:uiPriority w:val="99"/>
    <w:semiHidden/>
    <w:rsid w:val="00EB0227"/>
    <w:rPr>
      <w:sz w:val="20"/>
      <w:szCs w:val="20"/>
      <w:lang w:eastAsia="en-US"/>
    </w:rPr>
  </w:style>
  <w:style w:type="paragraph" w:customStyle="1" w:styleId="3rdDegreeHeading">
    <w:name w:val="*3rd Degree Heading"/>
    <w:basedOn w:val="2nddegreeheading"/>
    <w:qFormat/>
    <w:rsid w:val="00CB5399"/>
    <w:pPr>
      <w:spacing w:after="0"/>
    </w:pPr>
  </w:style>
  <w:style w:type="paragraph" w:customStyle="1" w:styleId="FigureTitle">
    <w:name w:val="*FigureTitle"/>
    <w:basedOn w:val="Normal"/>
    <w:qFormat/>
    <w:rsid w:val="00CB5399"/>
    <w:pPr>
      <w:spacing w:before="240" w:after="240"/>
      <w:jc w:val="center"/>
    </w:pPr>
  </w:style>
  <w:style w:type="paragraph" w:styleId="BalloonText">
    <w:name w:val="Balloon Text"/>
    <w:basedOn w:val="Normal"/>
    <w:link w:val="BalloonTextChar"/>
    <w:uiPriority w:val="99"/>
    <w:semiHidden/>
    <w:unhideWhenUsed/>
    <w:rsid w:val="00DE4E3E"/>
    <w:rPr>
      <w:rFonts w:ascii="Tahoma" w:hAnsi="Tahoma" w:cs="Tahoma"/>
      <w:sz w:val="16"/>
      <w:szCs w:val="16"/>
    </w:rPr>
  </w:style>
  <w:style w:type="character" w:customStyle="1" w:styleId="BalloonTextChar">
    <w:name w:val="Balloon Text Char"/>
    <w:basedOn w:val="DefaultParagraphFont"/>
    <w:link w:val="BalloonText"/>
    <w:uiPriority w:val="99"/>
    <w:semiHidden/>
    <w:rsid w:val="00DE4E3E"/>
    <w:rPr>
      <w:rFonts w:ascii="Tahoma" w:hAnsi="Tahoma" w:cs="Tahoma"/>
      <w:sz w:val="16"/>
      <w:szCs w:val="16"/>
      <w:lang w:val="en-GB"/>
    </w:rPr>
  </w:style>
  <w:style w:type="paragraph" w:styleId="ListParagraph">
    <w:name w:val="List Paragraph"/>
    <w:basedOn w:val="Normal"/>
    <w:uiPriority w:val="34"/>
    <w:qFormat/>
    <w:rsid w:val="00DE4E3E"/>
    <w:pPr>
      <w:ind w:left="720"/>
      <w:contextualSpacing/>
    </w:pPr>
  </w:style>
  <w:style w:type="character" w:styleId="Hyperlink">
    <w:name w:val="Hyperlink"/>
    <w:basedOn w:val="DefaultParagraphFont"/>
    <w:uiPriority w:val="99"/>
    <w:unhideWhenUsed/>
    <w:rsid w:val="006E7FF6"/>
    <w:rPr>
      <w:color w:val="0000FF" w:themeColor="hyperlink"/>
      <w:u w:val="single"/>
    </w:rPr>
  </w:style>
  <w:style w:type="paragraph" w:styleId="Header">
    <w:name w:val="header"/>
    <w:basedOn w:val="Normal"/>
    <w:link w:val="HeaderChar"/>
    <w:uiPriority w:val="99"/>
    <w:unhideWhenUsed/>
    <w:rsid w:val="005F1618"/>
    <w:pPr>
      <w:tabs>
        <w:tab w:val="center" w:pos="4536"/>
        <w:tab w:val="right" w:pos="9072"/>
      </w:tabs>
    </w:pPr>
  </w:style>
  <w:style w:type="character" w:customStyle="1" w:styleId="HeaderChar">
    <w:name w:val="Header Char"/>
    <w:basedOn w:val="DefaultParagraphFont"/>
    <w:link w:val="Header"/>
    <w:uiPriority w:val="99"/>
    <w:rsid w:val="005F1618"/>
    <w:rPr>
      <w:sz w:val="24"/>
      <w:lang w:val="en-GB"/>
    </w:rPr>
  </w:style>
  <w:style w:type="paragraph" w:styleId="CommentSubject">
    <w:name w:val="annotation subject"/>
    <w:basedOn w:val="CommentText"/>
    <w:next w:val="CommentText"/>
    <w:link w:val="CommentSubjectChar"/>
    <w:uiPriority w:val="99"/>
    <w:semiHidden/>
    <w:unhideWhenUsed/>
    <w:rsid w:val="0002428E"/>
    <w:rPr>
      <w:b/>
      <w:bCs/>
    </w:rPr>
  </w:style>
  <w:style w:type="character" w:customStyle="1" w:styleId="CommentSubjectChar">
    <w:name w:val="Comment Subject Char"/>
    <w:basedOn w:val="CommentTextChar"/>
    <w:link w:val="CommentSubject"/>
    <w:uiPriority w:val="99"/>
    <w:semiHidden/>
    <w:rsid w:val="0002428E"/>
    <w:rPr>
      <w:b/>
      <w:bCs/>
      <w:sz w:val="20"/>
      <w:szCs w:val="20"/>
      <w:lang w:val="da-DK" w:eastAsia="en-US"/>
    </w:rPr>
  </w:style>
  <w:style w:type="paragraph" w:styleId="Revision">
    <w:name w:val="Revision"/>
    <w:hidden/>
    <w:uiPriority w:val="99"/>
    <w:semiHidden/>
    <w:rsid w:val="009D7E9D"/>
    <w:rPr>
      <w:sz w:val="24"/>
      <w:lang w:val="da-DK"/>
    </w:rPr>
  </w:style>
  <w:style w:type="character" w:styleId="PlaceholderText">
    <w:name w:val="Placeholder Text"/>
    <w:basedOn w:val="DefaultParagraphFont"/>
    <w:uiPriority w:val="99"/>
    <w:semiHidden/>
    <w:rsid w:val="001637CF"/>
    <w:rPr>
      <w:color w:val="808080"/>
    </w:rPr>
  </w:style>
  <w:style w:type="character" w:styleId="FollowedHyperlink">
    <w:name w:val="FollowedHyperlink"/>
    <w:basedOn w:val="DefaultParagraphFont"/>
    <w:uiPriority w:val="99"/>
    <w:semiHidden/>
    <w:unhideWhenUsed/>
    <w:rsid w:val="00EB46DF"/>
    <w:rPr>
      <w:color w:val="800080" w:themeColor="followedHyperlink"/>
      <w:u w:val="single"/>
    </w:rPr>
  </w:style>
  <w:style w:type="character" w:customStyle="1" w:styleId="article-headermeta-info-data">
    <w:name w:val="article-header__meta-info-data"/>
    <w:basedOn w:val="DefaultParagraphFont"/>
    <w:rsid w:val="00E4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dc.europa.eu/en/publications/Publications/01-08-2016-RRA-eighth-update-Zika%20virus-Americas,%20Caribbean,%20Oceania.pdf" TargetMode="External"/><Relationship Id="rId18" Type="http://schemas.openxmlformats.org/officeDocument/2006/relationships/hyperlink" Target="http://www.spare-europe.e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3.amazonaws.com/zanran_storage/www.wspa.org.uk/ContentPages/48536804.pdf" TargetMode="External"/><Relationship Id="rId7" Type="http://schemas.openxmlformats.org/officeDocument/2006/relationships/footnotes" Target="footnotes.xml"/><Relationship Id="rId12" Type="http://schemas.openxmlformats.org/officeDocument/2006/relationships/hyperlink" Target="http://collections.europarchive.org/tna/20050301192907/http:/www.defra.gov.uk/animalh/illegali/pdf/risk-assessment04.pdf" TargetMode="External"/><Relationship Id="rId17" Type="http://schemas.openxmlformats.org/officeDocument/2006/relationships/hyperlink" Target="https://www.gov.uk/government/uploads/system/uploads/attachment_data/file/499882/qra-BTV8-UK-160212.pd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eb.oie.int/hs2/report.asp?lang=en" TargetMode="External"/><Relationship Id="rId20" Type="http://schemas.openxmlformats.org/officeDocument/2006/relationships/hyperlink" Target="http://agclass.nal.usda.gov/mtwdk.exe?s=1&amp;n=1&amp;y=0&amp;l=60&amp;k=glossary&amp;t=2&amp;w=release+assess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ihwa.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ie.int/wahis_2/public/wahid.php/Wahidhome/Home"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unstats.un.org/unsd/methods/m49/m49regi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ediaf.org/facts-figur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Robin.Simons@apha.gsi.gov.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vepm.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p737\Dropbox\LIFE\SVEPM\Conferences\2017\JVP\SVEPM%20Proceedings%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55B97-1087-4DE4-AEF3-50C5153B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SVEPM Proceedings Template 2017.dotx</Template>
  <TotalTime>0</TotalTime>
  <Pages>10</Pages>
  <Words>4142</Words>
  <Characters>23612</Characters>
  <Application>Microsoft Office Word</Application>
  <DocSecurity>0</DocSecurity>
  <Lines>196</Lines>
  <Paragraphs>55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SOCIETY FOR VETERINARY EPIDEMIOLOGY</vt:lpstr>
      <vt:lpstr>SOCIETY FOR VETERINARY EPIDEMIOLOGY</vt:lpstr>
      <vt:lpstr>SOCIETY FOR VETERINARY EPIDEMIOLOGY</vt:lpstr>
    </vt:vector>
  </TitlesOfParts>
  <Company>dard</Company>
  <LinksUpToDate>false</LinksUpToDate>
  <CharactersWithSpaces>27699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VETERINARY EPIDEMIOLOGY</dc:title>
  <dc:creator>Liza Rosenbaum Nielsen</dc:creator>
  <cp:lastModifiedBy>Simons, Robin (AHVLA)</cp:lastModifiedBy>
  <cp:revision>2</cp:revision>
  <cp:lastPrinted>2012-06-27T10:44:00Z</cp:lastPrinted>
  <dcterms:created xsi:type="dcterms:W3CDTF">2017-08-01T14:34:00Z</dcterms:created>
  <dcterms:modified xsi:type="dcterms:W3CDTF">2017-08-01T14:34:00Z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